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B70BAB8" w14:textId="77777777" w:rsidR="00A73484" w:rsidRDefault="00A73484">
      <w:pPr>
        <w:widowControl w:val="0"/>
        <w:jc w:val="both"/>
      </w:pPr>
    </w:p>
    <w:tbl>
      <w:tblPr>
        <w:tblStyle w:val="a"/>
        <w:tblW w:w="9040" w:type="dxa"/>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180"/>
        <w:gridCol w:w="1600"/>
        <w:gridCol w:w="1600"/>
        <w:gridCol w:w="2660"/>
      </w:tblGrid>
      <w:tr w:rsidR="00A73484" w14:paraId="36E2AC85" w14:textId="77777777">
        <w:trPr>
          <w:trHeight w:val="520"/>
        </w:trPr>
        <w:tc>
          <w:tcPr>
            <w:tcW w:w="9040" w:type="dxa"/>
            <w:gridSpan w:val="4"/>
            <w:tcBorders>
              <w:top w:val="single" w:sz="8" w:space="0" w:color="FFFFFF"/>
              <w:left w:val="single" w:sz="8" w:space="0" w:color="FFFFFF"/>
              <w:bottom w:val="single" w:sz="8" w:space="0" w:color="8D8D8D"/>
              <w:right w:val="single" w:sz="8" w:space="0" w:color="FFFFFF"/>
            </w:tcBorders>
            <w:shd w:val="clear" w:color="auto" w:fill="44ADE9"/>
            <w:tcMar>
              <w:left w:w="0" w:type="dxa"/>
              <w:right w:w="0" w:type="dxa"/>
            </w:tcMar>
          </w:tcPr>
          <w:p w14:paraId="3EB813F6" w14:textId="77777777" w:rsidR="00A73484" w:rsidRDefault="007A02F8">
            <w:pPr>
              <w:widowControl w:val="0"/>
              <w:spacing w:before="60" w:after="60"/>
              <w:jc w:val="center"/>
            </w:pPr>
            <w:r>
              <w:rPr>
                <w:b/>
                <w:color w:val="FFFFFF"/>
                <w:sz w:val="28"/>
                <w:szCs w:val="28"/>
              </w:rPr>
              <w:t>VOORLOPIG Informatiedossier</w:t>
            </w:r>
          </w:p>
        </w:tc>
      </w:tr>
      <w:tr w:rsidR="00A73484" w14:paraId="15A3E69B" w14:textId="77777777">
        <w:trPr>
          <w:trHeight w:val="500"/>
        </w:trPr>
        <w:tc>
          <w:tcPr>
            <w:tcW w:w="9040" w:type="dxa"/>
            <w:gridSpan w:val="4"/>
            <w:tcBorders>
              <w:top w:val="single" w:sz="8" w:space="0" w:color="8D8D8D"/>
              <w:left w:val="single" w:sz="8" w:space="0" w:color="8D8D8D"/>
              <w:bottom w:val="single" w:sz="8" w:space="0" w:color="8D8D8D"/>
              <w:right w:val="single" w:sz="8" w:space="0" w:color="8D8D8D"/>
            </w:tcBorders>
            <w:shd w:val="clear" w:color="auto" w:fill="FFFFFF"/>
            <w:tcMar>
              <w:top w:w="100" w:type="dxa"/>
              <w:left w:w="100" w:type="dxa"/>
              <w:bottom w:w="100" w:type="dxa"/>
              <w:right w:w="100" w:type="dxa"/>
            </w:tcMar>
          </w:tcPr>
          <w:p w14:paraId="3101303A" w14:textId="77777777" w:rsidR="00A73484" w:rsidRDefault="007A02F8">
            <w:pPr>
              <w:widowControl w:val="0"/>
              <w:jc w:val="center"/>
            </w:pPr>
            <w:r>
              <w:rPr>
                <w:b/>
                <w:color w:val="00AEEF"/>
                <w:sz w:val="28"/>
                <w:szCs w:val="28"/>
              </w:rPr>
              <w:t>Geneeskunde</w:t>
            </w:r>
          </w:p>
        </w:tc>
      </w:tr>
      <w:tr w:rsidR="00A73484" w14:paraId="6A83E8EC" w14:textId="77777777">
        <w:trPr>
          <w:trHeight w:val="500"/>
        </w:trPr>
        <w:tc>
          <w:tcPr>
            <w:tcW w:w="3180" w:type="dxa"/>
            <w:tcBorders>
              <w:top w:val="single" w:sz="8" w:space="0" w:color="8D8D8D"/>
              <w:left w:val="single" w:sz="8" w:space="0" w:color="8D8D8D"/>
              <w:bottom w:val="single" w:sz="8" w:space="0" w:color="8D8D8D"/>
              <w:right w:val="single" w:sz="8" w:space="0" w:color="8D8D8D"/>
            </w:tcBorders>
            <w:shd w:val="clear" w:color="auto" w:fill="8D8D8D"/>
            <w:tcMar>
              <w:top w:w="100" w:type="dxa"/>
              <w:left w:w="100" w:type="dxa"/>
              <w:bottom w:w="100" w:type="dxa"/>
              <w:right w:w="100" w:type="dxa"/>
            </w:tcMar>
          </w:tcPr>
          <w:p w14:paraId="4BD2915D" w14:textId="77777777" w:rsidR="00A73484" w:rsidRDefault="007A02F8">
            <w:pPr>
              <w:widowControl w:val="0"/>
              <w:jc w:val="both"/>
            </w:pPr>
            <w:r>
              <w:t xml:space="preserve"> </w:t>
            </w:r>
            <w:r>
              <w:rPr>
                <w:b/>
                <w:color w:val="FFFFFF"/>
              </w:rPr>
              <w:t>VERTROUWELIJK</w:t>
            </w:r>
          </w:p>
        </w:tc>
        <w:tc>
          <w:tcPr>
            <w:tcW w:w="3200" w:type="dxa"/>
            <w:gridSpan w:val="2"/>
            <w:tcBorders>
              <w:top w:val="single" w:sz="8" w:space="0" w:color="8D8D8D"/>
              <w:left w:val="single" w:sz="8" w:space="0" w:color="8D8D8D"/>
              <w:bottom w:val="single" w:sz="8" w:space="0" w:color="8D8D8D"/>
              <w:right w:val="single" w:sz="8" w:space="0" w:color="8D8D8D"/>
            </w:tcBorders>
            <w:shd w:val="clear" w:color="auto" w:fill="8D8D8D"/>
            <w:tcMar>
              <w:top w:w="100" w:type="dxa"/>
              <w:left w:w="100" w:type="dxa"/>
              <w:bottom w:w="100" w:type="dxa"/>
              <w:right w:w="100" w:type="dxa"/>
            </w:tcMar>
          </w:tcPr>
          <w:p w14:paraId="681F7A72" w14:textId="77777777" w:rsidR="00A73484" w:rsidRDefault="007A02F8">
            <w:pPr>
              <w:widowControl w:val="0"/>
              <w:jc w:val="both"/>
            </w:pPr>
            <w:r>
              <w:t xml:space="preserve"> </w:t>
            </w:r>
            <w:r>
              <w:rPr>
                <w:b/>
                <w:color w:val="FFFFFF"/>
              </w:rPr>
              <w:t>BEPERKTE TOEGANG</w:t>
            </w:r>
          </w:p>
        </w:tc>
        <w:tc>
          <w:tcPr>
            <w:tcW w:w="2660" w:type="dxa"/>
            <w:tcBorders>
              <w:top w:val="single" w:sz="8" w:space="0" w:color="8D8D8D"/>
              <w:left w:val="single" w:sz="8" w:space="0" w:color="8D8D8D"/>
              <w:bottom w:val="single" w:sz="8" w:space="0" w:color="8D8D8D"/>
              <w:right w:val="single" w:sz="8" w:space="0" w:color="8D8D8D"/>
            </w:tcBorders>
            <w:shd w:val="clear" w:color="auto" w:fill="5B9BD5"/>
            <w:tcMar>
              <w:top w:w="100" w:type="dxa"/>
              <w:left w:w="100" w:type="dxa"/>
              <w:bottom w:w="100" w:type="dxa"/>
              <w:right w:w="100" w:type="dxa"/>
            </w:tcMar>
          </w:tcPr>
          <w:p w14:paraId="1AA94334" w14:textId="77777777" w:rsidR="00A73484" w:rsidRDefault="007A02F8">
            <w:pPr>
              <w:widowControl w:val="0"/>
              <w:jc w:val="both"/>
            </w:pPr>
            <w:r>
              <w:t xml:space="preserve"> </w:t>
            </w:r>
            <w:r>
              <w:rPr>
                <w:b/>
                <w:color w:val="FFFFFF"/>
              </w:rPr>
              <w:t>OPEN</w:t>
            </w:r>
          </w:p>
        </w:tc>
      </w:tr>
      <w:tr w:rsidR="00A73484" w14:paraId="0AB99B5D" w14:textId="77777777">
        <w:trPr>
          <w:trHeight w:val="500"/>
        </w:trPr>
        <w:tc>
          <w:tcPr>
            <w:tcW w:w="4780" w:type="dxa"/>
            <w:gridSpan w:val="2"/>
            <w:tcBorders>
              <w:top w:val="single" w:sz="8" w:space="0" w:color="8D8D8D"/>
              <w:left w:val="single" w:sz="8" w:space="0" w:color="8D8D8D"/>
              <w:bottom w:val="single" w:sz="8" w:space="0" w:color="8D8D8D"/>
              <w:right w:val="single" w:sz="8" w:space="0" w:color="8D8D8D"/>
            </w:tcBorders>
            <w:shd w:val="clear" w:color="auto" w:fill="5B9BD5"/>
            <w:tcMar>
              <w:top w:w="100" w:type="dxa"/>
              <w:left w:w="100" w:type="dxa"/>
              <w:bottom w:w="100" w:type="dxa"/>
              <w:right w:w="100" w:type="dxa"/>
            </w:tcMar>
          </w:tcPr>
          <w:p w14:paraId="618B8711" w14:textId="77777777" w:rsidR="00A73484" w:rsidRDefault="007A02F8">
            <w:pPr>
              <w:widowControl w:val="0"/>
              <w:jc w:val="both"/>
            </w:pPr>
            <w:r>
              <w:t xml:space="preserve"> </w:t>
            </w:r>
            <w:r>
              <w:rPr>
                <w:b/>
                <w:color w:val="FFFFFF"/>
              </w:rPr>
              <w:t>WERKDOCUMENT</w:t>
            </w:r>
          </w:p>
        </w:tc>
        <w:tc>
          <w:tcPr>
            <w:tcW w:w="4260" w:type="dxa"/>
            <w:gridSpan w:val="2"/>
            <w:tcBorders>
              <w:top w:val="single" w:sz="8" w:space="0" w:color="8D8D8D"/>
              <w:left w:val="single" w:sz="8" w:space="0" w:color="8D8D8D"/>
              <w:bottom w:val="single" w:sz="8" w:space="0" w:color="8D8D8D"/>
              <w:right w:val="single" w:sz="8" w:space="0" w:color="8D8D8D"/>
            </w:tcBorders>
            <w:shd w:val="clear" w:color="auto" w:fill="8D8D8D"/>
            <w:tcMar>
              <w:top w:w="100" w:type="dxa"/>
              <w:left w:w="100" w:type="dxa"/>
              <w:bottom w:w="100" w:type="dxa"/>
              <w:right w:w="100" w:type="dxa"/>
            </w:tcMar>
          </w:tcPr>
          <w:p w14:paraId="40C96F24" w14:textId="77777777" w:rsidR="00A73484" w:rsidRDefault="007A02F8">
            <w:pPr>
              <w:widowControl w:val="0"/>
              <w:jc w:val="both"/>
            </w:pPr>
            <w:r>
              <w:t xml:space="preserve"> </w:t>
            </w:r>
            <w:r>
              <w:rPr>
                <w:b/>
                <w:color w:val="FFFFFF"/>
              </w:rPr>
              <w:t>FINAAL DOCUMENT</w:t>
            </w:r>
          </w:p>
        </w:tc>
      </w:tr>
    </w:tbl>
    <w:p w14:paraId="0D89E5C0" w14:textId="77777777" w:rsidR="00A73484" w:rsidRDefault="00A73484">
      <w:pPr>
        <w:spacing w:after="160" w:line="259" w:lineRule="auto"/>
        <w:jc w:val="both"/>
      </w:pPr>
      <w:bookmarkStart w:id="0" w:name="_gjdgxs" w:colFirst="0" w:colLast="0"/>
      <w:bookmarkEnd w:id="0"/>
    </w:p>
    <w:p w14:paraId="7E3FBB9B" w14:textId="77777777" w:rsidR="00A73484" w:rsidRDefault="007A02F8">
      <w:pPr>
        <w:pStyle w:val="Heading2"/>
        <w:spacing w:before="40" w:after="0" w:line="259" w:lineRule="auto"/>
        <w:contextualSpacing w:val="0"/>
        <w:jc w:val="both"/>
      </w:pPr>
      <w:bookmarkStart w:id="1" w:name="_30j0zll" w:colFirst="0" w:colLast="0"/>
      <w:bookmarkEnd w:id="1"/>
      <w:r>
        <w:rPr>
          <w:color w:val="2E75B5"/>
          <w:sz w:val="22"/>
          <w:szCs w:val="22"/>
        </w:rPr>
        <w:t xml:space="preserve">Inleiding </w:t>
      </w:r>
    </w:p>
    <w:p w14:paraId="6E0D26BC" w14:textId="77777777" w:rsidR="00A73484" w:rsidRDefault="007A02F8">
      <w:pPr>
        <w:spacing w:after="160" w:line="259" w:lineRule="auto"/>
        <w:jc w:val="both"/>
      </w:pPr>
      <w:bookmarkStart w:id="2" w:name="_1fob9te" w:colFirst="0" w:colLast="0"/>
      <w:bookmarkEnd w:id="2"/>
      <w:r>
        <w:t xml:space="preserve">De voorbije maanden en jaren maakte de toelatingsprocedure voor de opleidingen geneeskunde en tandheelkunde zeer regelmatig voorwerp uit van de actualiteit. </w:t>
      </w:r>
    </w:p>
    <w:p w14:paraId="0993FD33" w14:textId="77777777" w:rsidR="00A73484" w:rsidRDefault="007A02F8">
      <w:pPr>
        <w:spacing w:after="160" w:line="259" w:lineRule="auto"/>
        <w:jc w:val="both"/>
      </w:pPr>
      <w:r>
        <w:t>Het toelatingsexamen arts en tandarts is door de Vlaamse Gemeenschap 20 jaar geleden ingevoerd als</w:t>
      </w:r>
      <w:r>
        <w:t xml:space="preserve"> antwoord op de federale contingentering van artsen en tandartsen</w:t>
      </w:r>
      <w:r>
        <w:rPr>
          <w:vertAlign w:val="superscript"/>
        </w:rPr>
        <w:footnoteReference w:id="1"/>
      </w:r>
      <w:r>
        <w:t xml:space="preserve">. Die legt het </w:t>
      </w:r>
      <w:proofErr w:type="gramStart"/>
      <w:r>
        <w:t>maximum aantal</w:t>
      </w:r>
      <w:proofErr w:type="gramEnd"/>
      <w:r>
        <w:t xml:space="preserve"> artsen en tandartsen vast die prestaties mogen leveren die in aanmerking komen voor de terugbetaling door het RIZIV. Het doel van de toelatingsproef is om de in</w:t>
      </w:r>
      <w:r>
        <w:t>stroom van studenten in lijn te brengen met dat contingent. Daarnaast kan met het examen ook de bekwaamheid van toekomstige studenten arts/tandarts getest worden.</w:t>
      </w:r>
      <w:r>
        <w:rPr>
          <w:vertAlign w:val="superscript"/>
        </w:rPr>
        <w:footnoteReference w:id="2"/>
      </w:r>
    </w:p>
    <w:p w14:paraId="0D654D98" w14:textId="77777777" w:rsidR="00A73484" w:rsidRDefault="007A02F8">
      <w:pPr>
        <w:pStyle w:val="Heading2"/>
        <w:spacing w:before="40" w:after="0" w:line="259" w:lineRule="auto"/>
        <w:contextualSpacing w:val="0"/>
        <w:jc w:val="both"/>
      </w:pPr>
      <w:proofErr w:type="gramStart"/>
      <w:r>
        <w:rPr>
          <w:rFonts w:ascii="Calibri" w:eastAsia="Calibri" w:hAnsi="Calibri" w:cs="Calibri"/>
          <w:color w:val="2E75B5"/>
          <w:sz w:val="26"/>
          <w:szCs w:val="26"/>
        </w:rPr>
        <w:t>in</w:t>
      </w:r>
      <w:proofErr w:type="gramEnd"/>
      <w:r>
        <w:rPr>
          <w:rFonts w:ascii="Calibri" w:eastAsia="Calibri" w:hAnsi="Calibri" w:cs="Calibri"/>
          <w:color w:val="2E75B5"/>
          <w:sz w:val="26"/>
          <w:szCs w:val="26"/>
        </w:rPr>
        <w:t xml:space="preserve"> 2022: 2000 te veel in </w:t>
      </w:r>
      <w:proofErr w:type="spellStart"/>
      <w:r>
        <w:rPr>
          <w:rFonts w:ascii="Calibri" w:eastAsia="Calibri" w:hAnsi="Calibri" w:cs="Calibri"/>
          <w:color w:val="2E75B5"/>
          <w:sz w:val="26"/>
          <w:szCs w:val="26"/>
        </w:rPr>
        <w:t>wallonie</w:t>
      </w:r>
      <w:proofErr w:type="spellEnd"/>
      <w:r>
        <w:rPr>
          <w:rFonts w:ascii="Calibri" w:eastAsia="Calibri" w:hAnsi="Calibri" w:cs="Calibri"/>
          <w:color w:val="2E75B5"/>
          <w:sz w:val="26"/>
          <w:szCs w:val="26"/>
        </w:rPr>
        <w:t xml:space="preserve">, 2 te veel in </w:t>
      </w:r>
      <w:proofErr w:type="spellStart"/>
      <w:r>
        <w:rPr>
          <w:rFonts w:ascii="Calibri" w:eastAsia="Calibri" w:hAnsi="Calibri" w:cs="Calibri"/>
          <w:color w:val="2E75B5"/>
          <w:sz w:val="26"/>
          <w:szCs w:val="26"/>
        </w:rPr>
        <w:t>vlaanderen</w:t>
      </w:r>
      <w:proofErr w:type="spellEnd"/>
    </w:p>
    <w:p w14:paraId="025E7F50" w14:textId="77777777" w:rsidR="00A73484" w:rsidRDefault="00A73484"/>
    <w:p w14:paraId="7E46D149" w14:textId="77777777" w:rsidR="00A73484" w:rsidRDefault="007A02F8">
      <w:pPr>
        <w:pStyle w:val="Heading2"/>
        <w:spacing w:before="40" w:after="0" w:line="259" w:lineRule="auto"/>
        <w:contextualSpacing w:val="0"/>
        <w:jc w:val="both"/>
      </w:pPr>
      <w:r>
        <w:rPr>
          <w:rFonts w:ascii="Calibri" w:eastAsia="Calibri" w:hAnsi="Calibri" w:cs="Calibri"/>
          <w:color w:val="2E75B5"/>
          <w:sz w:val="26"/>
          <w:szCs w:val="26"/>
        </w:rPr>
        <w:t>Mogelijke hervorming Toelatingse</w:t>
      </w:r>
      <w:r>
        <w:rPr>
          <w:rFonts w:ascii="Calibri" w:eastAsia="Calibri" w:hAnsi="Calibri" w:cs="Calibri"/>
          <w:color w:val="2E75B5"/>
          <w:sz w:val="26"/>
          <w:szCs w:val="26"/>
        </w:rPr>
        <w:t>xamen?</w:t>
      </w:r>
    </w:p>
    <w:p w14:paraId="7DD7EAAF" w14:textId="77777777" w:rsidR="00A73484" w:rsidRDefault="007A02F8">
      <w:pPr>
        <w:spacing w:after="160" w:line="259" w:lineRule="auto"/>
        <w:jc w:val="both"/>
      </w:pPr>
      <w:r>
        <w:t>In het academiejaar 2014-2015 werd een begeleidingscommissie aan het werk gezet om enkele aspecten van het toelatingsexamen na te gaan. Hieronder vielen o.a. de genderbias (vrouwen slagen significant minder vaak op het toelatingsexamen, terwijl ze i</w:t>
      </w:r>
      <w:r>
        <w:t>n het algemeen vaker slagen in het hoger onderwijs dan mannen) en moeilijkheidsgraad van het examen. De commissie deed aanbevelingen over het format en de regelgeving rond het toelatingsexamen. Ze bestond uit vertegenwoordigers van de faculteiten (de decan</w:t>
      </w:r>
      <w:r>
        <w:t xml:space="preserve">en), de studenten, de examencommissie, het secundair onderwijs en de overheid. Eén van de belangrijkste aanbevelingen van deze commissie is dat ze aanbevelen om te schakelen van een </w:t>
      </w:r>
      <w:proofErr w:type="spellStart"/>
      <w:r>
        <w:t>numerus</w:t>
      </w:r>
      <w:proofErr w:type="spellEnd"/>
      <w:r>
        <w:t xml:space="preserve"> </w:t>
      </w:r>
      <w:proofErr w:type="spellStart"/>
      <w:r>
        <w:t>clausus</w:t>
      </w:r>
      <w:proofErr w:type="spellEnd"/>
      <w:r>
        <w:t xml:space="preserve"> examen naar een </w:t>
      </w:r>
      <w:proofErr w:type="spellStart"/>
      <w:r>
        <w:t>numerus</w:t>
      </w:r>
      <w:proofErr w:type="spellEnd"/>
      <w:r>
        <w:t xml:space="preserve"> fixus. Het </w:t>
      </w:r>
      <w:proofErr w:type="spellStart"/>
      <w:r>
        <w:t>numerus</w:t>
      </w:r>
      <w:proofErr w:type="spellEnd"/>
      <w:r>
        <w:t xml:space="preserve"> </w:t>
      </w:r>
      <w:proofErr w:type="spellStart"/>
      <w:r>
        <w:t>clausus</w:t>
      </w:r>
      <w:proofErr w:type="spellEnd"/>
      <w:r>
        <w:t>-systeem</w:t>
      </w:r>
      <w:r>
        <w:t xml:space="preserve"> (dat vandaag geldt) houdt in dat studenten die vandaag slagen op het volledige examen en voldoen aan de eisen per examenonderdeel, mogen starten met de opleiding. Een </w:t>
      </w:r>
      <w:proofErr w:type="spellStart"/>
      <w:r>
        <w:t>numerus</w:t>
      </w:r>
      <w:proofErr w:type="spellEnd"/>
      <w:r>
        <w:t xml:space="preserve"> fixus examen zou inhouden dat op voorhand een aantal studenten wordt bepaald dat</w:t>
      </w:r>
      <w:r>
        <w:t xml:space="preserve"> mag starten met de opleiding (op basis van de cijfers van de planningscommissie, zij berekenen het aantal benodigde nieuwe artsen op lange termijn en houden hierbij rekening met zoveel mogelijk factoren). Slagen op het examen is dus niet voldoende, als er</w:t>
      </w:r>
      <w:r>
        <w:t xml:space="preserve"> bv. een grens is gelegd op 800 startende studenten, moet je </w:t>
      </w:r>
      <w:proofErr w:type="gramStart"/>
      <w:r>
        <w:t>één</w:t>
      </w:r>
      <w:proofErr w:type="gramEnd"/>
      <w:r>
        <w:t xml:space="preserve"> van de beste 800 scores hebben om toegelaten te worden. Dit zou ook inhouden dat er maar één examenmoment per jaar kan plaatsvinden en het aantal pogingen beperkt wordt.  </w:t>
      </w:r>
    </w:p>
    <w:p w14:paraId="5F533495" w14:textId="77777777" w:rsidR="00A73484" w:rsidRDefault="007A02F8">
      <w:pPr>
        <w:pStyle w:val="Heading2"/>
        <w:spacing w:before="40" w:after="0" w:line="259" w:lineRule="auto"/>
        <w:contextualSpacing w:val="0"/>
        <w:jc w:val="both"/>
      </w:pPr>
      <w:r>
        <w:rPr>
          <w:rFonts w:ascii="Calibri" w:eastAsia="Calibri" w:hAnsi="Calibri" w:cs="Calibri"/>
          <w:color w:val="2E75B5"/>
          <w:sz w:val="26"/>
          <w:szCs w:val="26"/>
        </w:rPr>
        <w:lastRenderedPageBreak/>
        <w:t>Waarom wordt deze w</w:t>
      </w:r>
      <w:r>
        <w:rPr>
          <w:rFonts w:ascii="Calibri" w:eastAsia="Calibri" w:hAnsi="Calibri" w:cs="Calibri"/>
          <w:color w:val="2E75B5"/>
          <w:sz w:val="26"/>
          <w:szCs w:val="26"/>
        </w:rPr>
        <w:t>ijziging voorgesteld?</w:t>
      </w:r>
    </w:p>
    <w:p w14:paraId="16151F75" w14:textId="77777777" w:rsidR="00A73484" w:rsidRDefault="007A02F8">
      <w:pPr>
        <w:spacing w:line="240" w:lineRule="auto"/>
        <w:jc w:val="both"/>
      </w:pPr>
      <w:r>
        <w:t>Door een absolute cesuur te hanteren, wordt het aantal geslaagden bepaald door de criteria die onafhankelijk van het contingent staan. De begeleidingscommissie stelt dat dit als gevolg heeft dat het examen alsmaar moeilijker wordt, om</w:t>
      </w:r>
      <w:r>
        <w:t xml:space="preserve">dat de examencommissie wil vermijden dat het aantal geslaagden ver boven de norm van het contingent uitkomt. Hierdoor daalt het differentiërend vermogen van het examen. Door de combinatie van deze twee factoren daalt ook het maatschappelijk draagvlak voor </w:t>
      </w:r>
      <w:r>
        <w:t xml:space="preserve">het examen omdat het lage slaagpercentage als onredelijk wordt ervaren (16,8 % in 2015). Er is ook weinig begrip als bij een </w:t>
      </w:r>
      <w:proofErr w:type="spellStart"/>
      <w:r>
        <w:t>herdeliberatie</w:t>
      </w:r>
      <w:proofErr w:type="spellEnd"/>
      <w:r>
        <w:t xml:space="preserve"> nog laattijdig bijkomende geslaagden in de opleiding mogen inschrijven. </w:t>
      </w:r>
    </w:p>
    <w:p w14:paraId="4364917D" w14:textId="77777777" w:rsidR="00A73484" w:rsidRDefault="007A02F8">
      <w:pPr>
        <w:spacing w:line="240" w:lineRule="auto"/>
        <w:jc w:val="both"/>
      </w:pPr>
      <w:r>
        <w:t>De begeleidingscommissie wijst erop dat het</w:t>
      </w:r>
      <w:r>
        <w:t xml:space="preserve"> invoeren van een vergelijkend examen het voordeel heeft dat het aantal geslaagden voorspelbaar is en in lijn ligt met het contingent.</w:t>
      </w:r>
      <w:r>
        <w:rPr>
          <w:vertAlign w:val="superscript"/>
        </w:rPr>
        <w:footnoteReference w:id="3"/>
      </w:r>
    </w:p>
    <w:p w14:paraId="042E34EA" w14:textId="77777777" w:rsidR="00A73484" w:rsidRDefault="00A73484">
      <w:pPr>
        <w:spacing w:line="240" w:lineRule="auto"/>
        <w:jc w:val="both"/>
      </w:pPr>
    </w:p>
    <w:p w14:paraId="7BB0B9F0" w14:textId="77777777" w:rsidR="00A73484" w:rsidRDefault="007A02F8">
      <w:pPr>
        <w:pStyle w:val="Heading2"/>
        <w:spacing w:before="40" w:after="0" w:line="259" w:lineRule="auto"/>
        <w:contextualSpacing w:val="0"/>
        <w:jc w:val="both"/>
      </w:pPr>
      <w:r>
        <w:rPr>
          <w:rFonts w:ascii="Calibri" w:eastAsia="Calibri" w:hAnsi="Calibri" w:cs="Calibri"/>
          <w:color w:val="2E75B5"/>
          <w:sz w:val="26"/>
          <w:szCs w:val="26"/>
        </w:rPr>
        <w:t>Reacties</w:t>
      </w:r>
    </w:p>
    <w:p w14:paraId="45DA3096" w14:textId="77777777" w:rsidR="00A73484" w:rsidRDefault="007A02F8">
      <w:pPr>
        <w:spacing w:after="160" w:line="259" w:lineRule="auto"/>
        <w:jc w:val="both"/>
      </w:pPr>
      <w:r>
        <w:t>In de begeleidingscommissie werden de studenten vertegenwoordigd door het Vlaams Geneeskundig Studentenoverleg</w:t>
      </w:r>
      <w:r>
        <w:t xml:space="preserve">. Hun positie over de adviezen is, kort samengevat, de volgende: Ideologisch zijn ze geen voorstander van de </w:t>
      </w:r>
      <w:proofErr w:type="spellStart"/>
      <w:r>
        <w:t>numerus</w:t>
      </w:r>
      <w:proofErr w:type="spellEnd"/>
      <w:r>
        <w:t xml:space="preserve"> fixus, de student zou zelf aan de basis moeten staan en niet vergeleken worden, ze vrezen ook dat de concurrentie tussen studenten nog verd</w:t>
      </w:r>
      <w:r>
        <w:t>er zal toenemen. Dit zou de belasting voor het examen nog vergroten. Ook betreuren ze het dat er maar één examenmoment kan worden georganiseerd. Ze erkennen echter wel dat de aangehaalde problemen (examen wordt steeds moeilijker, meer beroepsprocedures, pe</w:t>
      </w:r>
      <w:r>
        <w:t>rceptie-problemen en de grote aantallen teleurgestelde studenten) mogelijk kunnen worden verbeterd met de aangehaald oplossingen. Ze benadrukken echter dat hierbij meer democratisch toegankelijke, Vlaamse of interuniversitaire, voorbereiding moet worden vo</w:t>
      </w:r>
      <w:r>
        <w:t>orzien om de wildgroei aan dure privé-initiatieven te stoppen. Het VGSO blijft ook onvoorwaardelijk achter een ingangsexamen staan in het teken van een goed ingevuld contingent om zo elke startende student tandheelkunde of geneeskunde te verzekeren van zij</w:t>
      </w:r>
      <w:r>
        <w:t xml:space="preserve">n/haar RIZIV-nummer. </w:t>
      </w:r>
    </w:p>
    <w:p w14:paraId="5E86C2D5" w14:textId="77777777" w:rsidR="00A73484" w:rsidRDefault="007A02F8">
      <w:pPr>
        <w:spacing w:after="160" w:line="259" w:lineRule="auto"/>
        <w:jc w:val="both"/>
      </w:pPr>
      <w:r>
        <w:t>De Vlaamse Onderwijsraad (VLOR) bracht in maart 2016 haar advies uit over de aanbevelingen van de begeleidingscommissie. VVS was vertegenwoordigd in deze werkgroep van de VLOR en nam hierbij het standpunt aan van het Vlaams Geneeskundig Studentenoverleg.</w:t>
      </w:r>
    </w:p>
    <w:p w14:paraId="72ED4522" w14:textId="77777777" w:rsidR="00A73484" w:rsidRDefault="007A02F8">
      <w:pPr>
        <w:spacing w:after="160" w:line="259" w:lineRule="auto"/>
        <w:jc w:val="both"/>
      </w:pPr>
      <w:r>
        <w:t>H</w:t>
      </w:r>
      <w:r>
        <w:t xml:space="preserve">et advies is voorzichtig positief en geeft aan dat de omvorming waardevol kan zijn maar plaatst hierbij wel een heel aantal belangrijke kanttekeningen. Zo </w:t>
      </w:r>
      <w:proofErr w:type="spellStart"/>
      <w:r>
        <w:t>reeageert</w:t>
      </w:r>
      <w:proofErr w:type="spellEnd"/>
      <w:r>
        <w:t xml:space="preserve"> de VLOR dat werken met een wachtlijst niet aan te raden is, dat de geldigheidsduur van de t</w:t>
      </w:r>
      <w:r>
        <w:t xml:space="preserve">oelating (in het voorstel beperkt tot 2 jaar) niet beperkt zou moeten worden en dat beter twee verschillende examens worden georganiseerd voor geneeskunde en tandheelkunde (zodat kandidaten aan </w:t>
      </w:r>
      <w:proofErr w:type="gramStart"/>
      <w:r>
        <w:t>één</w:t>
      </w:r>
      <w:proofErr w:type="gramEnd"/>
      <w:r>
        <w:t xml:space="preserve"> van de examens of beide kunnen deelnemen en er geen binden</w:t>
      </w:r>
      <w:r>
        <w:t>de keuze moet worden gemaakt voor het examen is afgelegd). Daarnaast formuleert de VLOR enkele belangrijke voorwaarden zoals democratische voorbereidingsmogelijkheden (Sterke nadruk vanuit VGSO/VVS), goede communicatie, het afstemmen van leerinhouden en ve</w:t>
      </w:r>
      <w:r>
        <w:t>el aandacht voor gelijke kansen.</w:t>
      </w:r>
    </w:p>
    <w:p w14:paraId="13822ECD" w14:textId="77777777" w:rsidR="00A73484" w:rsidRDefault="00A73484">
      <w:pPr>
        <w:spacing w:after="160" w:line="259" w:lineRule="auto"/>
        <w:jc w:val="both"/>
      </w:pPr>
    </w:p>
    <w:p w14:paraId="044A3549" w14:textId="77777777" w:rsidR="00A73484" w:rsidRDefault="007A02F8">
      <w:pPr>
        <w:pStyle w:val="Heading2"/>
        <w:spacing w:before="40" w:after="0" w:line="259" w:lineRule="auto"/>
        <w:contextualSpacing w:val="0"/>
        <w:jc w:val="both"/>
      </w:pPr>
      <w:r>
        <w:rPr>
          <w:rFonts w:ascii="Calibri" w:eastAsia="Calibri" w:hAnsi="Calibri" w:cs="Calibri"/>
          <w:color w:val="2E75B5"/>
          <w:sz w:val="26"/>
          <w:szCs w:val="26"/>
        </w:rPr>
        <w:t xml:space="preserve">Hoe zit het in de Franstalige gemeenschap? </w:t>
      </w:r>
    </w:p>
    <w:p w14:paraId="2DEAD796" w14:textId="77777777" w:rsidR="00A73484" w:rsidRDefault="007A02F8">
      <w:pPr>
        <w:spacing w:after="160" w:line="259" w:lineRule="auto"/>
        <w:jc w:val="both"/>
      </w:pPr>
      <w:r>
        <w:t xml:space="preserve">In de Franstalige gemeenschap bestond </w:t>
      </w:r>
      <w:commentRangeStart w:id="3"/>
      <w:r>
        <w:t xml:space="preserve">de laatste jaren </w:t>
      </w:r>
      <w:commentRangeEnd w:id="3"/>
      <w:r w:rsidR="00C32B2E">
        <w:rPr>
          <w:rStyle w:val="CommentReference"/>
        </w:rPr>
        <w:commentReference w:id="3"/>
      </w:r>
      <w:r>
        <w:t>geen toelatingsexamen voor geneeskunde waardoor een teveel aan artsen/tandartsen dreigde toe te stromen. De oplossing hierv</w:t>
      </w:r>
      <w:r>
        <w:t xml:space="preserve">oor was dat de Franstalige studenten vanaf het jaar 2015-2016 na hun eerste </w:t>
      </w:r>
      <w:r>
        <w:lastRenderedPageBreak/>
        <w:t>jaar alsnog een examen moesten doen, maar dit bleek niet grondwettig. Zo verklaarde de Raad van State in de zomer van 2016 dat dit examen niet geldig is zodat enkele gebuisde stude</w:t>
      </w:r>
      <w:r>
        <w:t>nten toch mochten verder studeren (ze moesten wel geslaagd zijn voor 45 van de 60 studiepunten). Hiermee keerde het oude risico terug dat niet iedere student een RIZIV-nummer</w:t>
      </w:r>
      <w:r>
        <w:rPr>
          <w:vertAlign w:val="superscript"/>
        </w:rPr>
        <w:footnoteReference w:id="4"/>
      </w:r>
      <w:r>
        <w:t xml:space="preserve"> zou kunnen krijgen waardoor ze niet als dokter of tandarts kunnen werken.</w:t>
      </w:r>
    </w:p>
    <w:p w14:paraId="255D5376" w14:textId="77777777" w:rsidR="00A73484" w:rsidRDefault="007A02F8">
      <w:pPr>
        <w:spacing w:after="160" w:line="259" w:lineRule="auto"/>
        <w:jc w:val="both"/>
      </w:pPr>
      <w:r>
        <w:t>Er wer</w:t>
      </w:r>
      <w:r>
        <w:t xml:space="preserve">d ondertussen </w:t>
      </w:r>
      <w:commentRangeStart w:id="5"/>
      <w:r>
        <w:t xml:space="preserve">opnieuw </w:t>
      </w:r>
      <w:commentRangeEnd w:id="5"/>
      <w:r w:rsidR="00C32B2E">
        <w:rPr>
          <w:rStyle w:val="CommentReference"/>
        </w:rPr>
        <w:commentReference w:id="5"/>
      </w:r>
      <w:r>
        <w:t>een akkoord gesloten over de federale contingenteringsregels waarbij het Vlaamse onderwijs 60% van de dokters aflevert en het Franstalige onderwijs 40%. Deze verhouding blijft behouden (hoewel de planningscommissie de verhouding 56,5-</w:t>
      </w:r>
      <w:r>
        <w:t xml:space="preserve">43,5 </w:t>
      </w:r>
      <w:commentRangeStart w:id="6"/>
      <w:r>
        <w:t>voorstelde</w:t>
      </w:r>
      <w:commentRangeEnd w:id="6"/>
      <w:r w:rsidR="00C32B2E">
        <w:rPr>
          <w:rStyle w:val="CommentReference"/>
        </w:rPr>
        <w:commentReference w:id="6"/>
      </w:r>
      <w:r>
        <w:t xml:space="preserve">) en er werd door Franstalig minister van onderwijs Marcourt en minister de Block </w:t>
      </w:r>
      <w:commentRangeStart w:id="7"/>
      <w:r>
        <w:t xml:space="preserve">afgesproken </w:t>
      </w:r>
      <w:commentRangeEnd w:id="7"/>
      <w:r w:rsidR="00C32B2E">
        <w:rPr>
          <w:rStyle w:val="CommentReference"/>
        </w:rPr>
        <w:commentReference w:id="7"/>
      </w:r>
      <w:r>
        <w:t>dat er opnieuw een toelatingsexamen voor het eerste jaar zal worden georganiseerd. Ze neigen hierbij naar een vergelijkend examen zoals ook geadvis</w:t>
      </w:r>
      <w:r>
        <w:t>eerd werd voor de toelatingsexamens in de Vlaamse gemeenschap door de begeleidingscommissie in Vlaanderen.</w:t>
      </w:r>
    </w:p>
    <w:p w14:paraId="085791AA" w14:textId="77777777" w:rsidR="00A73484" w:rsidRDefault="007A02F8">
      <w:pPr>
        <w:pStyle w:val="Heading2"/>
        <w:spacing w:before="40" w:after="0" w:line="259" w:lineRule="auto"/>
        <w:contextualSpacing w:val="0"/>
        <w:jc w:val="both"/>
      </w:pPr>
      <w:r>
        <w:rPr>
          <w:color w:val="2E75B5"/>
          <w:sz w:val="22"/>
          <w:szCs w:val="22"/>
        </w:rPr>
        <w:t xml:space="preserve">Positie </w:t>
      </w:r>
      <w:proofErr w:type="spellStart"/>
      <w:r>
        <w:rPr>
          <w:color w:val="2E75B5"/>
          <w:sz w:val="22"/>
          <w:szCs w:val="22"/>
        </w:rPr>
        <w:t>Fédération</w:t>
      </w:r>
      <w:proofErr w:type="spellEnd"/>
      <w:r>
        <w:rPr>
          <w:color w:val="2E75B5"/>
          <w:sz w:val="22"/>
          <w:szCs w:val="22"/>
        </w:rPr>
        <w:t xml:space="preserve"> des </w:t>
      </w:r>
      <w:proofErr w:type="spellStart"/>
      <w:r>
        <w:rPr>
          <w:color w:val="2E75B5"/>
          <w:sz w:val="22"/>
          <w:szCs w:val="22"/>
        </w:rPr>
        <w:t>Etudiants</w:t>
      </w:r>
      <w:proofErr w:type="spellEnd"/>
      <w:r>
        <w:rPr>
          <w:color w:val="2E75B5"/>
          <w:sz w:val="22"/>
          <w:szCs w:val="22"/>
        </w:rPr>
        <w:t xml:space="preserve"> </w:t>
      </w:r>
      <w:proofErr w:type="spellStart"/>
      <w:r>
        <w:rPr>
          <w:color w:val="2E75B5"/>
          <w:sz w:val="22"/>
          <w:szCs w:val="22"/>
        </w:rPr>
        <w:t>Francophones</w:t>
      </w:r>
      <w:proofErr w:type="spellEnd"/>
    </w:p>
    <w:p w14:paraId="227BD84A" w14:textId="77777777" w:rsidR="00A73484" w:rsidRDefault="007A02F8">
      <w:pPr>
        <w:spacing w:after="160" w:line="259" w:lineRule="auto"/>
        <w:jc w:val="both"/>
      </w:pPr>
      <w:r>
        <w:t>FEF vindt dat het debat hier niet meer met de realiteit overeenkomt. Zo wordt het debat gevoerd over of</w:t>
      </w:r>
      <w:r>
        <w:t xml:space="preserve"> en hoe we de toestroom van geneeskundestudenten gaan beperken terwijl zowel Vlaanderen als Wallonië met een ernstig </w:t>
      </w:r>
      <w:commentRangeStart w:id="8"/>
      <w:r>
        <w:t>tekort</w:t>
      </w:r>
      <w:commentRangeEnd w:id="8"/>
      <w:r w:rsidR="00C32B2E">
        <w:rPr>
          <w:rStyle w:val="CommentReference"/>
        </w:rPr>
        <w:commentReference w:id="8"/>
      </w:r>
      <w:r>
        <w:t xml:space="preserve"> aan artsen kampt (zowel huis- als gespecialiseerde artsen). </w:t>
      </w:r>
      <w:commentRangeStart w:id="9"/>
      <w:r>
        <w:t>Als gevolg daarvan worden niet enkel huisartsen overdonderd, maar worden</w:t>
      </w:r>
      <w:r>
        <w:t xml:space="preserve"> ook de wachttijden voor gespecialiseerde artsen steeds langer, wat niet ten goede komt van de dringendere noden van de populatie.</w:t>
      </w:r>
      <w:commentRangeEnd w:id="9"/>
      <w:r w:rsidR="005879B1">
        <w:rPr>
          <w:rStyle w:val="CommentReference"/>
        </w:rPr>
        <w:commentReference w:id="9"/>
      </w:r>
    </w:p>
    <w:p w14:paraId="042544D6" w14:textId="77777777" w:rsidR="00A73484" w:rsidRDefault="007A02F8">
      <w:pPr>
        <w:spacing w:before="100" w:after="100" w:line="240" w:lineRule="auto"/>
        <w:jc w:val="both"/>
      </w:pPr>
      <w:r>
        <w:rPr>
          <w:rFonts w:ascii="Times New Roman" w:eastAsia="Times New Roman" w:hAnsi="Times New Roman" w:cs="Times New Roman"/>
          <w:sz w:val="24"/>
          <w:szCs w:val="24"/>
        </w:rPr>
        <w:t xml:space="preserve">In 2014 hadden 314 van de 589 Belgische gemeenten een </w:t>
      </w:r>
      <w:commentRangeStart w:id="10"/>
      <w:r>
        <w:rPr>
          <w:rFonts w:ascii="Times New Roman" w:eastAsia="Times New Roman" w:hAnsi="Times New Roman" w:cs="Times New Roman"/>
          <w:sz w:val="24"/>
          <w:szCs w:val="24"/>
        </w:rPr>
        <w:t>artsentekort</w:t>
      </w:r>
      <w:commentRangeEnd w:id="10"/>
      <w:r w:rsidR="005879B1">
        <w:rPr>
          <w:rStyle w:val="CommentReference"/>
        </w:rPr>
        <w:commentReference w:id="10"/>
      </w:r>
      <w:r>
        <w:rPr>
          <w:rFonts w:ascii="Times New Roman" w:eastAsia="Times New Roman" w:hAnsi="Times New Roman" w:cs="Times New Roman"/>
          <w:sz w:val="24"/>
          <w:szCs w:val="24"/>
        </w:rPr>
        <w:t>', benadrukt de federatie. 'In het belang van alle studente</w:t>
      </w:r>
      <w:r>
        <w:rPr>
          <w:rFonts w:ascii="Times New Roman" w:eastAsia="Times New Roman" w:hAnsi="Times New Roman" w:cs="Times New Roman"/>
          <w:sz w:val="24"/>
          <w:szCs w:val="24"/>
        </w:rPr>
        <w:t>n en burgers moeten we het debat bekijken vanuit het oogpunt van de gezondheidszorg.'</w:t>
      </w:r>
      <w:r>
        <w:rPr>
          <w:rFonts w:ascii="Times New Roman" w:eastAsia="Times New Roman" w:hAnsi="Times New Roman" w:cs="Times New Roman"/>
          <w:sz w:val="24"/>
          <w:szCs w:val="24"/>
          <w:vertAlign w:val="superscript"/>
        </w:rPr>
        <w:footnoteReference w:id="5"/>
      </w:r>
    </w:p>
    <w:p w14:paraId="24CE70D4" w14:textId="77777777" w:rsidR="00A73484" w:rsidRDefault="007A02F8">
      <w:pPr>
        <w:spacing w:before="100" w:after="100" w:line="240" w:lineRule="auto"/>
        <w:jc w:val="both"/>
      </w:pPr>
      <w:r>
        <w:rPr>
          <w:rFonts w:ascii="Times New Roman" w:eastAsia="Times New Roman" w:hAnsi="Times New Roman" w:cs="Times New Roman"/>
          <w:sz w:val="24"/>
          <w:szCs w:val="24"/>
        </w:rPr>
        <w:t>'De politiek moet haar verantwoordelijkheid nemen in dit dossier en helder communiceren tegen over de studenten, vooral over de benadering van de tweede examenkans', voegt de Federatie nog toe. De onduidelijkheid heerst, vindt de FEF, en de studenten lijde</w:t>
      </w:r>
      <w:r>
        <w:rPr>
          <w:rFonts w:ascii="Times New Roman" w:eastAsia="Times New Roman" w:hAnsi="Times New Roman" w:cs="Times New Roman"/>
          <w:sz w:val="24"/>
          <w:szCs w:val="24"/>
        </w:rPr>
        <w:t>n daaronder. 'De studenten die bezig zijn aan de opleiding geneeskunde verdienen meer respect voor hun toekomst, met andere woorden de zekerheid op een Riziv-nummer.'</w:t>
      </w:r>
    </w:p>
    <w:p w14:paraId="1ECB3981" w14:textId="77777777" w:rsidR="00A73484" w:rsidRDefault="00A73484">
      <w:pPr>
        <w:spacing w:after="160" w:line="259" w:lineRule="auto"/>
        <w:jc w:val="both"/>
      </w:pPr>
    </w:p>
    <w:p w14:paraId="7569BE16" w14:textId="77777777" w:rsidR="00A73484" w:rsidRDefault="007A02F8">
      <w:pPr>
        <w:pStyle w:val="Heading2"/>
        <w:spacing w:before="40" w:after="0" w:line="259" w:lineRule="auto"/>
        <w:contextualSpacing w:val="0"/>
        <w:jc w:val="both"/>
      </w:pPr>
      <w:r>
        <w:rPr>
          <w:rFonts w:ascii="Calibri" w:eastAsia="Calibri" w:hAnsi="Calibri" w:cs="Calibri"/>
          <w:color w:val="2E75B5"/>
          <w:sz w:val="26"/>
          <w:szCs w:val="26"/>
        </w:rPr>
        <w:t xml:space="preserve">Positie Comité </w:t>
      </w:r>
      <w:proofErr w:type="spellStart"/>
      <w:r>
        <w:rPr>
          <w:rFonts w:ascii="Calibri" w:eastAsia="Calibri" w:hAnsi="Calibri" w:cs="Calibri"/>
          <w:color w:val="2E75B5"/>
          <w:sz w:val="26"/>
          <w:szCs w:val="26"/>
        </w:rPr>
        <w:t>Inter-universitaire</w:t>
      </w:r>
      <w:proofErr w:type="spellEnd"/>
      <w:r>
        <w:rPr>
          <w:rFonts w:ascii="Calibri" w:eastAsia="Calibri" w:hAnsi="Calibri" w:cs="Calibri"/>
          <w:color w:val="2E75B5"/>
          <w:sz w:val="26"/>
          <w:szCs w:val="26"/>
        </w:rPr>
        <w:t xml:space="preserve"> des </w:t>
      </w:r>
      <w:proofErr w:type="spellStart"/>
      <w:r>
        <w:rPr>
          <w:rFonts w:ascii="Calibri" w:eastAsia="Calibri" w:hAnsi="Calibri" w:cs="Calibri"/>
          <w:color w:val="2E75B5"/>
          <w:sz w:val="26"/>
          <w:szCs w:val="26"/>
        </w:rPr>
        <w:t>Etudiants</w:t>
      </w:r>
      <w:proofErr w:type="spellEnd"/>
      <w:r>
        <w:rPr>
          <w:rFonts w:ascii="Calibri" w:eastAsia="Calibri" w:hAnsi="Calibri" w:cs="Calibri"/>
          <w:color w:val="2E75B5"/>
          <w:sz w:val="26"/>
          <w:szCs w:val="26"/>
        </w:rPr>
        <w:t xml:space="preserve"> en Médecine (CIUM)</w:t>
      </w:r>
      <w:r>
        <w:rPr>
          <w:rFonts w:ascii="Calibri" w:eastAsia="Calibri" w:hAnsi="Calibri" w:cs="Calibri"/>
          <w:color w:val="2E75B5"/>
          <w:sz w:val="26"/>
          <w:szCs w:val="26"/>
          <w:vertAlign w:val="superscript"/>
        </w:rPr>
        <w:footnoteReference w:id="6"/>
      </w:r>
    </w:p>
    <w:p w14:paraId="74AE42FB" w14:textId="77777777" w:rsidR="00A73484" w:rsidRDefault="007A02F8">
      <w:pPr>
        <w:spacing w:after="160" w:line="259" w:lineRule="auto"/>
        <w:jc w:val="both"/>
      </w:pPr>
      <w:r>
        <w:rPr>
          <w:rFonts w:ascii="Calibri" w:eastAsia="Calibri" w:hAnsi="Calibri" w:cs="Calibri"/>
        </w:rPr>
        <w:t xml:space="preserve">Het CIUM stelt dat </w:t>
      </w:r>
      <w:r>
        <w:rPr>
          <w:rFonts w:ascii="Calibri" w:eastAsia="Calibri" w:hAnsi="Calibri" w:cs="Calibri"/>
        </w:rPr>
        <w:t xml:space="preserve">de Raad van State de federale </w:t>
      </w:r>
      <w:proofErr w:type="spellStart"/>
      <w:r>
        <w:rPr>
          <w:rFonts w:ascii="Calibri" w:eastAsia="Calibri" w:hAnsi="Calibri" w:cs="Calibri"/>
        </w:rPr>
        <w:t>numerus</w:t>
      </w:r>
      <w:proofErr w:type="spellEnd"/>
      <w:r>
        <w:rPr>
          <w:rFonts w:ascii="Calibri" w:eastAsia="Calibri" w:hAnsi="Calibri" w:cs="Calibri"/>
        </w:rPr>
        <w:t xml:space="preserve"> </w:t>
      </w:r>
      <w:proofErr w:type="spellStart"/>
      <w:r>
        <w:rPr>
          <w:rFonts w:ascii="Calibri" w:eastAsia="Calibri" w:hAnsi="Calibri" w:cs="Calibri"/>
        </w:rPr>
        <w:t>clausus</w:t>
      </w:r>
      <w:proofErr w:type="spellEnd"/>
      <w:r>
        <w:rPr>
          <w:rFonts w:ascii="Calibri" w:eastAsia="Calibri" w:hAnsi="Calibri" w:cs="Calibri"/>
        </w:rPr>
        <w:t xml:space="preserve"> in vraag stelt en meer concreet de </w:t>
      </w:r>
      <w:commentRangeStart w:id="11"/>
      <w:r>
        <w:rPr>
          <w:rFonts w:ascii="Calibri" w:eastAsia="Calibri" w:hAnsi="Calibri" w:cs="Calibri"/>
        </w:rPr>
        <w:t xml:space="preserve">manier waarop het aantal RIZIV-nummers beperkt wordt </w:t>
      </w:r>
      <w:commentRangeEnd w:id="11"/>
      <w:r w:rsidR="005879B1">
        <w:rPr>
          <w:rStyle w:val="CommentReference"/>
        </w:rPr>
        <w:commentReference w:id="11"/>
      </w:r>
      <w:r>
        <w:rPr>
          <w:rFonts w:ascii="Calibri" w:eastAsia="Calibri" w:hAnsi="Calibri" w:cs="Calibri"/>
        </w:rPr>
        <w:t>voor de personen die af zouden studeren in 2021, dus de studenten van het huidige eerste jaar. (zie het arrest:</w:t>
      </w:r>
      <w:r>
        <w:rPr>
          <w:rFonts w:ascii="Calibri" w:eastAsia="Calibri" w:hAnsi="Calibri" w:cs="Calibri"/>
          <w:vertAlign w:val="superscript"/>
        </w:rPr>
        <w:footnoteReference w:id="7"/>
      </w:r>
      <w:r>
        <w:rPr>
          <w:rFonts w:ascii="Calibri" w:eastAsia="Calibri" w:hAnsi="Calibri" w:cs="Calibri"/>
        </w:rPr>
        <w:t>) De feder</w:t>
      </w:r>
      <w:r>
        <w:rPr>
          <w:rFonts w:ascii="Calibri" w:eastAsia="Calibri" w:hAnsi="Calibri" w:cs="Calibri"/>
        </w:rPr>
        <w:t xml:space="preserve">ale </w:t>
      </w:r>
      <w:proofErr w:type="spellStart"/>
      <w:r>
        <w:rPr>
          <w:rFonts w:ascii="Calibri" w:eastAsia="Calibri" w:hAnsi="Calibri" w:cs="Calibri"/>
        </w:rPr>
        <w:t>numerus</w:t>
      </w:r>
      <w:proofErr w:type="spellEnd"/>
      <w:r>
        <w:rPr>
          <w:rFonts w:ascii="Calibri" w:eastAsia="Calibri" w:hAnsi="Calibri" w:cs="Calibri"/>
        </w:rPr>
        <w:t xml:space="preserve"> </w:t>
      </w:r>
      <w:proofErr w:type="spellStart"/>
      <w:r>
        <w:rPr>
          <w:rFonts w:ascii="Calibri" w:eastAsia="Calibri" w:hAnsi="Calibri" w:cs="Calibri"/>
        </w:rPr>
        <w:t>clausus</w:t>
      </w:r>
      <w:proofErr w:type="spellEnd"/>
      <w:r>
        <w:rPr>
          <w:rFonts w:ascii="Calibri" w:eastAsia="Calibri" w:hAnsi="Calibri" w:cs="Calibri"/>
        </w:rPr>
        <w:t xml:space="preserve"> </w:t>
      </w:r>
      <w:r>
        <w:rPr>
          <w:rFonts w:ascii="Calibri" w:eastAsia="Calibri" w:hAnsi="Calibri" w:cs="Calibri"/>
        </w:rPr>
        <w:lastRenderedPageBreak/>
        <w:t>(selectie van INAMI in het 6</w:t>
      </w:r>
      <w:r>
        <w:rPr>
          <w:rFonts w:ascii="Calibri" w:eastAsia="Calibri" w:hAnsi="Calibri" w:cs="Calibri"/>
          <w:vertAlign w:val="superscript"/>
        </w:rPr>
        <w:t>e</w:t>
      </w:r>
      <w:r>
        <w:rPr>
          <w:rFonts w:ascii="Calibri" w:eastAsia="Calibri" w:hAnsi="Calibri" w:cs="Calibri"/>
        </w:rPr>
        <w:t>/7</w:t>
      </w:r>
      <w:r>
        <w:rPr>
          <w:rFonts w:ascii="Calibri" w:eastAsia="Calibri" w:hAnsi="Calibri" w:cs="Calibri"/>
          <w:vertAlign w:val="superscript"/>
        </w:rPr>
        <w:t>e</w:t>
      </w:r>
      <w:r>
        <w:rPr>
          <w:rFonts w:ascii="Calibri" w:eastAsia="Calibri" w:hAnsi="Calibri" w:cs="Calibri"/>
        </w:rPr>
        <w:t>) legt aan de gemeenschappen een te vroege selectie op van studenten om de quota’s te respecteren. Nu de quota’s in vraag worden gesteld, wordt ook de selectie de facto in vraag gesteld/uitgesteld.  Ze vr</w:t>
      </w:r>
      <w:r>
        <w:rPr>
          <w:rFonts w:ascii="Calibri" w:eastAsia="Calibri" w:hAnsi="Calibri" w:cs="Calibri"/>
        </w:rPr>
        <w:t xml:space="preserve">agen vervolgens om een zorgvuldige manier van onderhandeling in het dossier. Door deze openlijke breuk en onzekerheid voor de studenten van de andere jaren over hun RIZIV-nummers, beslist het CIUM </w:t>
      </w:r>
      <w:proofErr w:type="gramStart"/>
      <w:r>
        <w:rPr>
          <w:rFonts w:ascii="Calibri" w:eastAsia="Calibri" w:hAnsi="Calibri" w:cs="Calibri"/>
        </w:rPr>
        <w:t>om  “</w:t>
      </w:r>
      <w:proofErr w:type="spellStart"/>
      <w:proofErr w:type="gramEnd"/>
      <w:r>
        <w:rPr>
          <w:rFonts w:ascii="Calibri" w:eastAsia="Calibri" w:hAnsi="Calibri" w:cs="Calibri"/>
        </w:rPr>
        <w:t>d'étudier</w:t>
      </w:r>
      <w:proofErr w:type="spellEnd"/>
      <w:r>
        <w:rPr>
          <w:rFonts w:ascii="Calibri" w:eastAsia="Calibri" w:hAnsi="Calibri" w:cs="Calibri"/>
        </w:rPr>
        <w:t xml:space="preserve"> la question </w:t>
      </w:r>
      <w:proofErr w:type="spellStart"/>
      <w:r>
        <w:rPr>
          <w:rFonts w:ascii="Calibri" w:eastAsia="Calibri" w:hAnsi="Calibri" w:cs="Calibri"/>
        </w:rPr>
        <w:t>d'une</w:t>
      </w:r>
      <w:proofErr w:type="spellEnd"/>
      <w:r>
        <w:rPr>
          <w:rFonts w:ascii="Calibri" w:eastAsia="Calibri" w:hAnsi="Calibri" w:cs="Calibri"/>
        </w:rPr>
        <w:t xml:space="preserve"> attaque directe au </w:t>
      </w:r>
      <w:proofErr w:type="spellStart"/>
      <w:r>
        <w:rPr>
          <w:rFonts w:ascii="Calibri" w:eastAsia="Calibri" w:hAnsi="Calibri" w:cs="Calibri"/>
        </w:rPr>
        <w:t>conseil</w:t>
      </w:r>
      <w:proofErr w:type="spellEnd"/>
      <w:r>
        <w:rPr>
          <w:rFonts w:ascii="Calibri" w:eastAsia="Calibri" w:hAnsi="Calibri" w:cs="Calibri"/>
        </w:rPr>
        <w:t xml:space="preserve"> </w:t>
      </w:r>
      <w:proofErr w:type="spellStart"/>
      <w:r>
        <w:rPr>
          <w:rFonts w:ascii="Calibri" w:eastAsia="Calibri" w:hAnsi="Calibri" w:cs="Calibri"/>
        </w:rPr>
        <w:t>d'Etat</w:t>
      </w:r>
      <w:proofErr w:type="spellEnd"/>
      <w:r>
        <w:rPr>
          <w:rFonts w:ascii="Calibri" w:eastAsia="Calibri" w:hAnsi="Calibri" w:cs="Calibri"/>
        </w:rPr>
        <w:t xml:space="preserve"> </w:t>
      </w:r>
      <w:proofErr w:type="spellStart"/>
      <w:r>
        <w:rPr>
          <w:rFonts w:ascii="Calibri" w:eastAsia="Calibri" w:hAnsi="Calibri" w:cs="Calibri"/>
        </w:rPr>
        <w:t>contre</w:t>
      </w:r>
      <w:proofErr w:type="spellEnd"/>
      <w:r>
        <w:rPr>
          <w:rFonts w:ascii="Calibri" w:eastAsia="Calibri" w:hAnsi="Calibri" w:cs="Calibri"/>
        </w:rPr>
        <w:t xml:space="preserve"> TOUS LES QUOTAS FEDERAUX DE TOUTES LES ANNEES </w:t>
      </w:r>
      <w:proofErr w:type="spellStart"/>
      <w:r>
        <w:rPr>
          <w:rFonts w:ascii="Calibri" w:eastAsia="Calibri" w:hAnsi="Calibri" w:cs="Calibri"/>
        </w:rPr>
        <w:t>fixés</w:t>
      </w:r>
      <w:proofErr w:type="spellEnd"/>
      <w:r>
        <w:rPr>
          <w:rFonts w:ascii="Calibri" w:eastAsia="Calibri" w:hAnsi="Calibri" w:cs="Calibri"/>
        </w:rPr>
        <w:t xml:space="preserve"> </w:t>
      </w:r>
      <w:proofErr w:type="spellStart"/>
      <w:r>
        <w:rPr>
          <w:rFonts w:ascii="Calibri" w:eastAsia="Calibri" w:hAnsi="Calibri" w:cs="Calibri"/>
        </w:rPr>
        <w:t>actuellement</w:t>
      </w:r>
      <w:proofErr w:type="spellEnd"/>
      <w:r>
        <w:rPr>
          <w:rFonts w:ascii="Calibri" w:eastAsia="Calibri" w:hAnsi="Calibri" w:cs="Calibri"/>
        </w:rPr>
        <w:t xml:space="preserve">.” Zodat geen enkele student geneeskunde of tandheelkunde nog moet vrezen of hij/zij het beroep zal kunnen uitoefenen waarvoor ze </w:t>
      </w:r>
      <w:proofErr w:type="spellStart"/>
      <w:r>
        <w:rPr>
          <w:rFonts w:ascii="Calibri" w:eastAsia="Calibri" w:hAnsi="Calibri" w:cs="Calibri"/>
        </w:rPr>
        <w:t>gestuurdeerd</w:t>
      </w:r>
      <w:proofErr w:type="spellEnd"/>
      <w:r>
        <w:rPr>
          <w:rFonts w:ascii="Calibri" w:eastAsia="Calibri" w:hAnsi="Calibri" w:cs="Calibri"/>
        </w:rPr>
        <w:t xml:space="preserve"> hebben.</w:t>
      </w:r>
    </w:p>
    <w:p w14:paraId="5C4C9416" w14:textId="77777777" w:rsidR="00A73484" w:rsidRDefault="007A02F8">
      <w:pPr>
        <w:pStyle w:val="Heading2"/>
        <w:spacing w:before="40" w:after="0" w:line="259" w:lineRule="auto"/>
        <w:contextualSpacing w:val="0"/>
        <w:jc w:val="both"/>
      </w:pPr>
      <w:r>
        <w:rPr>
          <w:color w:val="2E75B5"/>
          <w:sz w:val="22"/>
          <w:szCs w:val="22"/>
        </w:rPr>
        <w:t>Positie Vlaams Geneeskundi</w:t>
      </w:r>
      <w:r>
        <w:rPr>
          <w:color w:val="2E75B5"/>
          <w:sz w:val="22"/>
          <w:szCs w:val="22"/>
        </w:rPr>
        <w:t>g Studenten Overleg</w:t>
      </w:r>
    </w:p>
    <w:p w14:paraId="00DA0868" w14:textId="77777777" w:rsidR="00A73484" w:rsidRDefault="007A02F8">
      <w:pPr>
        <w:spacing w:after="160" w:line="259" w:lineRule="auto"/>
        <w:jc w:val="both"/>
      </w:pPr>
      <w:r>
        <w:t>Het VGSO blijft onvoorwaardelijk achter een ingangsexamen staan in het teken van een goed ingevuld contingent om zo elke startende student tandheelkunde of geneeskunde te verzekeren van zijn/haar RIZIV-nummer</w:t>
      </w:r>
      <w:r>
        <w:rPr>
          <w:vertAlign w:val="superscript"/>
        </w:rPr>
        <w:footnoteReference w:id="8"/>
      </w:r>
      <w:r>
        <w:t>. Ze stellen dat de noodzaa</w:t>
      </w:r>
      <w:r>
        <w:t xml:space="preserve">k van het beperken van het aantal artsen/tandartsen steeds opnieuw wordt aangetoond om het </w:t>
      </w:r>
      <w:proofErr w:type="spellStart"/>
      <w:r>
        <w:t>supplier</w:t>
      </w:r>
      <w:proofErr w:type="spellEnd"/>
      <w:r>
        <w:t xml:space="preserve"> </w:t>
      </w:r>
      <w:proofErr w:type="spellStart"/>
      <w:r>
        <w:t>induced</w:t>
      </w:r>
      <w:proofErr w:type="spellEnd"/>
      <w:r>
        <w:t xml:space="preserve"> </w:t>
      </w:r>
      <w:proofErr w:type="spellStart"/>
      <w:r>
        <w:t>demand</w:t>
      </w:r>
      <w:proofErr w:type="spellEnd"/>
      <w:r>
        <w:t>-effect</w:t>
      </w:r>
      <w:r>
        <w:rPr>
          <w:vertAlign w:val="superscript"/>
        </w:rPr>
        <w:footnoteReference w:id="9"/>
      </w:r>
      <w:r>
        <w:t xml:space="preserve"> in te dijken en de kosten van de sociale zekerheid aan de maatschappij te beperken. Ook de patiënt wordt beschermd tegen overbodige m</w:t>
      </w:r>
      <w:r>
        <w:t xml:space="preserve">edische handelingen.  </w:t>
      </w:r>
    </w:p>
    <w:p w14:paraId="47812D49" w14:textId="77777777" w:rsidR="00A73484" w:rsidRDefault="007A02F8">
      <w:pPr>
        <w:spacing w:after="160" w:line="259" w:lineRule="auto"/>
        <w:jc w:val="both"/>
      </w:pPr>
      <w:r>
        <w:t xml:space="preserve">In 2014 werd een voorlopige oplossing voorzien voor het dreigende tekort aan RIZIV-nummers door de afstuderende studenten van een nummer te verzekeren en het </w:t>
      </w:r>
      <w:proofErr w:type="spellStart"/>
      <w:r>
        <w:t>overaantal</w:t>
      </w:r>
      <w:proofErr w:type="spellEnd"/>
      <w:r>
        <w:t xml:space="preserve"> te compenseren over de komende jaren (negatieve </w:t>
      </w:r>
      <w:proofErr w:type="spellStart"/>
      <w:r>
        <w:t>lissage</w:t>
      </w:r>
      <w:proofErr w:type="spellEnd"/>
      <w:r>
        <w:t xml:space="preserve"> genoemd)</w:t>
      </w:r>
      <w:r>
        <w:t xml:space="preserve"> door wel degelijk een sterkere inperking van het aantal studenten te voorzien. De invoering van de test na het tweede jaar blijkt nu echter ook op zodanige problemen te stoten dat ze ongeldig is, zodat opnieuw het gevaar van te weinig RIZIV-nummers dreigt</w:t>
      </w:r>
      <w:r>
        <w:t xml:space="preserve">. </w:t>
      </w:r>
    </w:p>
    <w:p w14:paraId="41B32981" w14:textId="77777777" w:rsidR="00A73484" w:rsidRDefault="007A02F8">
      <w:pPr>
        <w:spacing w:after="160" w:line="259" w:lineRule="auto"/>
        <w:jc w:val="both"/>
      </w:pPr>
      <w:r>
        <w:t xml:space="preserve">De reactie van het CIUM om in te gaan tegen alle contingenten is voor het VGSO onbegrijpelijk. Het VGSO blijft achter de contingentering staan, wijst erop dat de </w:t>
      </w:r>
      <w:proofErr w:type="spellStart"/>
      <w:r>
        <w:t>subquota</w:t>
      </w:r>
      <w:proofErr w:type="spellEnd"/>
      <w:r>
        <w:t xml:space="preserve"> voor huisartsen bepaald worden door de gemeenschappen</w:t>
      </w:r>
      <w:r>
        <w:rPr>
          <w:vertAlign w:val="superscript"/>
        </w:rPr>
        <w:footnoteReference w:id="10"/>
      </w:r>
      <w:r>
        <w:t xml:space="preserve"> en dat het zomaar verhogen </w:t>
      </w:r>
      <w:r>
        <w:t xml:space="preserve">van het contingent niet zomaar zal leiden tot een verhoging van het aantal huisartsen. In Vlaanderen werd ingezet op verbetering van de perceptie van het huisartsenberoep door o.m. wijzigingen in het curriculum. </w:t>
      </w:r>
      <w:commentRangeStart w:id="12"/>
      <w:r>
        <w:t xml:space="preserve">De juridische aanval van de studenten op de </w:t>
      </w:r>
      <w:r>
        <w:t>contingentering is voor het VGSO niet te volgen.</w:t>
      </w:r>
      <w:commentRangeEnd w:id="12"/>
      <w:r w:rsidR="005879B1">
        <w:rPr>
          <w:rStyle w:val="CommentReference"/>
        </w:rPr>
        <w:commentReference w:id="12"/>
      </w:r>
    </w:p>
    <w:p w14:paraId="114C12F5" w14:textId="77777777" w:rsidR="00A73484" w:rsidRDefault="00A73484">
      <w:pPr>
        <w:pStyle w:val="Heading2"/>
        <w:spacing w:before="40" w:after="0" w:line="259" w:lineRule="auto"/>
        <w:contextualSpacing w:val="0"/>
        <w:jc w:val="both"/>
      </w:pPr>
    </w:p>
    <w:p w14:paraId="2E7FF35B" w14:textId="77777777" w:rsidR="00A73484" w:rsidRDefault="007A02F8">
      <w:pPr>
        <w:pStyle w:val="Heading2"/>
        <w:spacing w:before="40" w:after="0" w:line="259" w:lineRule="auto"/>
        <w:contextualSpacing w:val="0"/>
        <w:jc w:val="both"/>
      </w:pPr>
      <w:r>
        <w:rPr>
          <w:rFonts w:ascii="Calibri" w:eastAsia="Calibri" w:hAnsi="Calibri" w:cs="Calibri"/>
          <w:color w:val="2E75B5"/>
          <w:sz w:val="26"/>
          <w:szCs w:val="26"/>
        </w:rPr>
        <w:t xml:space="preserve">Antwoord minister </w:t>
      </w:r>
      <w:proofErr w:type="spellStart"/>
      <w:r>
        <w:rPr>
          <w:rFonts w:ascii="Calibri" w:eastAsia="Calibri" w:hAnsi="Calibri" w:cs="Calibri"/>
          <w:color w:val="2E75B5"/>
          <w:sz w:val="26"/>
          <w:szCs w:val="26"/>
        </w:rPr>
        <w:t>Vandeurzen</w:t>
      </w:r>
      <w:proofErr w:type="spellEnd"/>
      <w:r>
        <w:rPr>
          <w:rFonts w:ascii="Calibri" w:eastAsia="Calibri" w:hAnsi="Calibri" w:cs="Calibri"/>
          <w:color w:val="2E75B5"/>
          <w:sz w:val="26"/>
          <w:szCs w:val="26"/>
        </w:rPr>
        <w:t xml:space="preserve"> op een vraag over deze verdelingen op federaal en gemeenschapsniveau</w:t>
      </w:r>
      <w:r>
        <w:rPr>
          <w:rFonts w:ascii="Calibri" w:eastAsia="Calibri" w:hAnsi="Calibri" w:cs="Calibri"/>
          <w:color w:val="2E75B5"/>
          <w:sz w:val="26"/>
          <w:szCs w:val="26"/>
          <w:vertAlign w:val="superscript"/>
        </w:rPr>
        <w:footnoteReference w:id="11"/>
      </w:r>
    </w:p>
    <w:p w14:paraId="7DA7C64B" w14:textId="77777777" w:rsidR="00A73484" w:rsidRDefault="007A02F8">
      <w:pPr>
        <w:spacing w:before="100" w:after="100" w:line="240" w:lineRule="auto"/>
        <w:jc w:val="both"/>
      </w:pPr>
      <w:r>
        <w:rPr>
          <w:rFonts w:ascii="Times New Roman" w:eastAsia="Times New Roman" w:hAnsi="Times New Roman" w:cs="Times New Roman"/>
          <w:sz w:val="24"/>
          <w:szCs w:val="24"/>
        </w:rPr>
        <w:t>Bij de verdeling van het globale contingent over de verschillende gemeenschappen is tot nu toe altijd de 60</w:t>
      </w:r>
      <w:r>
        <w:rPr>
          <w:rFonts w:ascii="Times New Roman" w:eastAsia="Times New Roman" w:hAnsi="Times New Roman" w:cs="Times New Roman"/>
          <w:sz w:val="24"/>
          <w:szCs w:val="24"/>
        </w:rPr>
        <w:t>/40-verhouding gehanteerd, alhoewel dit geen wettelijk bepaalde verdeelsleutel is. In het meest recente advies van de Planningscommissie is de nieuwe verhouding geen uitgangspunt maar een ‘resultante’: men heeft op basis van de voorgestelde berekeningen de</w:t>
      </w:r>
      <w:r>
        <w:rPr>
          <w:rFonts w:ascii="Times New Roman" w:eastAsia="Times New Roman" w:hAnsi="Times New Roman" w:cs="Times New Roman"/>
          <w:sz w:val="24"/>
          <w:szCs w:val="24"/>
        </w:rPr>
        <w:t xml:space="preserve"> aantallen per gemeenschap ingeschat per deeldiscipline. Het resulterende totaal vertoonde uiteindelijk niet de traditionele verhouding. We zien op dit ogenblik geen redenen om het standpunt dat we sinds vorige regeerperiode innemen te wijzigen. We wensen </w:t>
      </w:r>
      <w:r>
        <w:rPr>
          <w:rFonts w:ascii="Times New Roman" w:eastAsia="Times New Roman" w:hAnsi="Times New Roman" w:cs="Times New Roman"/>
          <w:sz w:val="24"/>
          <w:szCs w:val="24"/>
        </w:rPr>
        <w:t>de 60/40-verhouding te behouden en kijken uit naar het effect van de filter die bij decreet in de Franse Gemeenschap geïnstalleerd werd. Het betreft een examen dat na de eerste bachelor werd ingevoerd en de komende maanden voor het eerst zal worden toegepa</w:t>
      </w:r>
      <w:r>
        <w:rPr>
          <w:rFonts w:ascii="Times New Roman" w:eastAsia="Times New Roman" w:hAnsi="Times New Roman" w:cs="Times New Roman"/>
          <w:sz w:val="24"/>
          <w:szCs w:val="24"/>
        </w:rPr>
        <w:t xml:space="preserve">st. Of dit naar behoren werkt, zal pas blijken na de tweede zittijd 2016. </w:t>
      </w:r>
      <w:bookmarkStart w:id="13" w:name="_GoBack"/>
      <w:bookmarkEnd w:id="13"/>
    </w:p>
    <w:p w14:paraId="286F1C17" w14:textId="77777777" w:rsidR="00A73484" w:rsidRDefault="007A02F8">
      <w:pPr>
        <w:spacing w:before="100" w:after="100" w:line="240" w:lineRule="auto"/>
        <w:jc w:val="both"/>
      </w:pPr>
      <w:r>
        <w:rPr>
          <w:rFonts w:ascii="Times New Roman" w:eastAsia="Times New Roman" w:hAnsi="Times New Roman" w:cs="Times New Roman"/>
          <w:sz w:val="24"/>
          <w:szCs w:val="24"/>
        </w:rPr>
        <w:t xml:space="preserve">Bovendien kan het niet los worden gezien van andere problemen met betrekking tot de contingentering, namelijk het overschot aan afgestudeerden aan geneeskundestudenten in de Franse </w:t>
      </w:r>
      <w:r>
        <w:rPr>
          <w:rFonts w:ascii="Times New Roman" w:eastAsia="Times New Roman" w:hAnsi="Times New Roman" w:cs="Times New Roman"/>
          <w:sz w:val="24"/>
          <w:szCs w:val="24"/>
        </w:rPr>
        <w:t xml:space="preserve">Gemeenschap of, concreter, het tekort aan RIZIV-nummers voor het teveel aan afgestudeerden. Het is ten zeerste de vraag of de realiteit van dat overtal ook meegenomen is als parameter om de toekomstige noden te berekenen. Dan zou men immers verwachten dat </w:t>
      </w:r>
      <w:r>
        <w:rPr>
          <w:rFonts w:ascii="Times New Roman" w:eastAsia="Times New Roman" w:hAnsi="Times New Roman" w:cs="Times New Roman"/>
          <w:sz w:val="24"/>
          <w:szCs w:val="24"/>
        </w:rPr>
        <w:t xml:space="preserve">het aandeel aan Franstalige kant beduidend lager ligt, gelet op hun ‘wervingsreserve’, als ik dat zo mag noemen, of met andere woorden het aantal afgestudeerden die nog op een RIZIV-nummer wachten. </w:t>
      </w:r>
    </w:p>
    <w:p w14:paraId="4995671C" w14:textId="77777777" w:rsidR="00A73484" w:rsidRDefault="007A02F8">
      <w:pPr>
        <w:spacing w:before="100" w:after="100" w:line="240" w:lineRule="auto"/>
        <w:jc w:val="both"/>
      </w:pPr>
      <w:r>
        <w:rPr>
          <w:rFonts w:ascii="Times New Roman" w:eastAsia="Times New Roman" w:hAnsi="Times New Roman" w:cs="Times New Roman"/>
          <w:sz w:val="24"/>
          <w:szCs w:val="24"/>
        </w:rPr>
        <w:t>Tegelijk vinden we het belangrijk dat de nodige maatregel</w:t>
      </w:r>
      <w:r>
        <w:rPr>
          <w:rFonts w:ascii="Times New Roman" w:eastAsia="Times New Roman" w:hAnsi="Times New Roman" w:cs="Times New Roman"/>
          <w:sz w:val="24"/>
          <w:szCs w:val="24"/>
        </w:rPr>
        <w:t xml:space="preserve">en genomen worden, in overleg met de onderscheiden gemeenschappen, die met de zesde staatshervorming bevoegd zijn geworden voor de </w:t>
      </w:r>
      <w:proofErr w:type="spellStart"/>
      <w:r>
        <w:rPr>
          <w:rFonts w:ascii="Times New Roman" w:eastAsia="Times New Roman" w:hAnsi="Times New Roman" w:cs="Times New Roman"/>
          <w:sz w:val="24"/>
          <w:szCs w:val="24"/>
        </w:rPr>
        <w:t>subquota</w:t>
      </w:r>
      <w:proofErr w:type="spellEnd"/>
      <w:r>
        <w:rPr>
          <w:rFonts w:ascii="Times New Roman" w:eastAsia="Times New Roman" w:hAnsi="Times New Roman" w:cs="Times New Roman"/>
          <w:sz w:val="24"/>
          <w:szCs w:val="24"/>
        </w:rPr>
        <w:t>, om de integratie van de dubbele cohorte artsen die afstuderen in 2018 in de ziekenhuizen en de vervolgopleidingen t</w:t>
      </w:r>
      <w:r>
        <w:rPr>
          <w:rFonts w:ascii="Times New Roman" w:eastAsia="Times New Roman" w:hAnsi="Times New Roman" w:cs="Times New Roman"/>
          <w:sz w:val="24"/>
          <w:szCs w:val="24"/>
        </w:rPr>
        <w:t>e vergemakkelijken en om knelpuntspecialisaties ingevuld te krijgen door gerichte maatregelen om de aantrekkelijkheid te verhogen, onder andere via de omkadering, aanbieden van kwaliteitsvolle stages. In dat kader hebben we ook de opdracht gegeven aan de K</w:t>
      </w:r>
      <w:r>
        <w:rPr>
          <w:rFonts w:ascii="Times New Roman" w:eastAsia="Times New Roman" w:hAnsi="Times New Roman" w:cs="Times New Roman"/>
          <w:sz w:val="24"/>
          <w:szCs w:val="24"/>
        </w:rPr>
        <w:t>oninklijke Academie voor Geneeskunde in België om een advies te geven over de kwaliteit van de stages en de aantrekkelijkheid van de knelpuntspecialismen.</w:t>
      </w:r>
    </w:p>
    <w:p w14:paraId="03A18554" w14:textId="77777777" w:rsidR="00A73484" w:rsidRDefault="00A73484">
      <w:pPr>
        <w:spacing w:after="160" w:line="259" w:lineRule="auto"/>
        <w:jc w:val="both"/>
      </w:pPr>
    </w:p>
    <w:p w14:paraId="6684870F" w14:textId="77777777" w:rsidR="00A73484" w:rsidRDefault="007A02F8">
      <w:pPr>
        <w:pStyle w:val="Heading2"/>
        <w:spacing w:before="40" w:after="0" w:line="259" w:lineRule="auto"/>
        <w:contextualSpacing w:val="0"/>
        <w:jc w:val="both"/>
      </w:pPr>
      <w:r>
        <w:rPr>
          <w:rFonts w:ascii="Calibri" w:eastAsia="Calibri" w:hAnsi="Calibri" w:cs="Calibri"/>
          <w:color w:val="2E75B5"/>
          <w:sz w:val="26"/>
          <w:szCs w:val="26"/>
        </w:rPr>
        <w:t>Positie VLOR</w:t>
      </w:r>
    </w:p>
    <w:p w14:paraId="053E365A" w14:textId="77777777" w:rsidR="00A73484" w:rsidRDefault="007A02F8">
      <w:pPr>
        <w:spacing w:after="160" w:line="259" w:lineRule="auto"/>
        <w:jc w:val="both"/>
      </w:pPr>
      <w:r>
        <w:rPr>
          <w:rFonts w:ascii="Calibri" w:eastAsia="Calibri" w:hAnsi="Calibri" w:cs="Calibri"/>
        </w:rPr>
        <w:t>De Vlaamse Onderwijsraad start in academiejaar 2016-2017 met een advies over de noodzak</w:t>
      </w:r>
      <w:r>
        <w:rPr>
          <w:rFonts w:ascii="Calibri" w:eastAsia="Calibri" w:hAnsi="Calibri" w:cs="Calibri"/>
        </w:rPr>
        <w:t xml:space="preserve">elijkheid en zin van het ingangsexamen. De eerste vergadering zal doorgaan op 16/11/2016.  </w:t>
      </w:r>
    </w:p>
    <w:p w14:paraId="3EB7BD63" w14:textId="77777777" w:rsidR="00A73484" w:rsidRDefault="00A73484"/>
    <w:sectPr w:rsidR="00A73484">
      <w:pgSz w:w="11909" w:h="16834"/>
      <w:pgMar w:top="1440" w:right="1440" w:bottom="1440" w:left="1440" w:header="708" w:footer="708" w:gutter="0"/>
      <w:pgNumType w:start="1"/>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Frederik Deman" w:date="2016-11-08T12:11:00Z" w:initials="FD">
    <w:p w14:paraId="789341E9" w14:textId="77777777" w:rsidR="00C32B2E" w:rsidRDefault="00C32B2E">
      <w:pPr>
        <w:pStyle w:val="CommentText"/>
      </w:pPr>
      <w:r>
        <w:rPr>
          <w:rStyle w:val="CommentReference"/>
        </w:rPr>
        <w:annotationRef/>
      </w:r>
      <w:r>
        <w:t>Tot op heden.</w:t>
      </w:r>
      <w:r>
        <w:br/>
      </w:r>
      <w:r>
        <w:br/>
        <w:t xml:space="preserve">Eventueel pas hier schetsing van verschillende zaken die werden uitgeprobeerd en ofwel niet werkten (ijkingstoets) ofwel niet grondwettelijk werden beschouwd (selecties </w:t>
      </w:r>
      <w:proofErr w:type="spellStart"/>
      <w:r>
        <w:t>nei</w:t>
      </w:r>
      <w:proofErr w:type="spellEnd"/>
      <w:r>
        <w:t>).</w:t>
      </w:r>
    </w:p>
  </w:comment>
  <w:comment w:id="5" w:author="Frederik Deman" w:date="2016-11-08T12:13:00Z" w:initials="FD">
    <w:p w14:paraId="4454750A" w14:textId="77777777" w:rsidR="00C32B2E" w:rsidRDefault="00C32B2E">
      <w:pPr>
        <w:pStyle w:val="CommentText"/>
      </w:pPr>
      <w:r>
        <w:rPr>
          <w:rStyle w:val="CommentReference"/>
        </w:rPr>
        <w:annotationRef/>
      </w:r>
      <w:r>
        <w:t>Is geen nieuw akkoord: huidig akkoord werd behouden.</w:t>
      </w:r>
    </w:p>
  </w:comment>
  <w:comment w:id="6" w:author="Frederik Deman" w:date="2016-11-08T12:13:00Z" w:initials="FD">
    <w:p w14:paraId="771AE1F6" w14:textId="77777777" w:rsidR="00C32B2E" w:rsidRDefault="00C32B2E">
      <w:pPr>
        <w:pStyle w:val="CommentText"/>
      </w:pPr>
      <w:r>
        <w:rPr>
          <w:rStyle w:val="CommentReference"/>
        </w:rPr>
        <w:annotationRef/>
      </w:r>
      <w:r>
        <w:t>Niet gehele planningscommissie stelde dit voor. Cijfers die vastgesteld werden toonden een groot verschil in activiteitsgraad (</w:t>
      </w:r>
      <w:proofErr w:type="spellStart"/>
      <w:r>
        <w:t>cfr</w:t>
      </w:r>
      <w:proofErr w:type="spellEnd"/>
      <w:r>
        <w:t xml:space="preserve">. </w:t>
      </w:r>
      <w:proofErr w:type="spellStart"/>
      <w:r>
        <w:t>Plancad</w:t>
      </w:r>
      <w:proofErr w:type="spellEnd"/>
      <w:r>
        <w:t xml:space="preserve"> 2014). Indien men dit gegeven als uitgangspunt neemt is een aanpassing van de quota gerechtvaardigd. Echter nooit onderzocht waarom verschillen in activiteitsgraad, pensioenleeftijd,… bestaan:</w:t>
      </w:r>
      <w:r>
        <w:br/>
        <w:t>- Is er een grotere zorgvraag (meer zieken)? Moet dit dan niet eerder aangepakt worden via preventie,… dan wel via een groter artsenkorps?</w:t>
      </w:r>
      <w:r>
        <w:br/>
        <w:t>- Hoe ziet verdeling regionaal er uit?</w:t>
      </w:r>
      <w:r>
        <w:br/>
        <w:t>- Wat met verdeling onder subspecialisaties?</w:t>
      </w:r>
      <w:r>
        <w:br/>
        <w:t xml:space="preserve">- Is er een overaanbod aan artsen waardoor activiteitsgraad lager ligt? Artsen sneller op pensioen gaan want minder patiënten per arts? In dit geval: gevaar voor </w:t>
      </w:r>
      <w:proofErr w:type="spellStart"/>
      <w:r>
        <w:t>Suplier</w:t>
      </w:r>
      <w:proofErr w:type="spellEnd"/>
      <w:r>
        <w:t xml:space="preserve"> </w:t>
      </w:r>
      <w:proofErr w:type="spellStart"/>
      <w:r>
        <w:t>induced</w:t>
      </w:r>
      <w:proofErr w:type="spellEnd"/>
      <w:r>
        <w:t xml:space="preserve"> </w:t>
      </w:r>
      <w:proofErr w:type="spellStart"/>
      <w:r>
        <w:t>demand</w:t>
      </w:r>
      <w:proofErr w:type="spellEnd"/>
      <w:r>
        <w:t xml:space="preserve"> (kosten gezondheidszorg liggen 1,2% hoger langs Franstalige zijde. Dit komt neer op bedrag van €700 miljoen hetgeen toch substantieel is).</w:t>
      </w:r>
    </w:p>
  </w:comment>
  <w:comment w:id="7" w:author="Frederik Deman" w:date="2016-11-08T12:17:00Z" w:initials="FD">
    <w:p w14:paraId="5D5B98B2" w14:textId="77777777" w:rsidR="00C32B2E" w:rsidRDefault="00C32B2E">
      <w:pPr>
        <w:pStyle w:val="CommentText"/>
      </w:pPr>
      <w:r>
        <w:rPr>
          <w:rStyle w:val="CommentReference"/>
        </w:rPr>
        <w:annotationRef/>
      </w:r>
      <w:r>
        <w:t xml:space="preserve">Ook afspraken over liessage gemaakt. </w:t>
      </w:r>
    </w:p>
  </w:comment>
  <w:comment w:id="8" w:author="Frederik Deman" w:date="2016-11-08T12:18:00Z" w:initials="FD">
    <w:p w14:paraId="1DFDC819" w14:textId="77777777" w:rsidR="00C32B2E" w:rsidRDefault="00C32B2E">
      <w:pPr>
        <w:pStyle w:val="CommentText"/>
      </w:pPr>
      <w:r>
        <w:rPr>
          <w:rStyle w:val="CommentReference"/>
        </w:rPr>
        <w:annotationRef/>
      </w:r>
      <w:r>
        <w:t xml:space="preserve">Bron? </w:t>
      </w:r>
      <w:r>
        <w:br/>
        <w:t xml:space="preserve">Dit is gebaseerd op zaken zoals </w:t>
      </w:r>
      <w:proofErr w:type="spellStart"/>
      <w:r>
        <w:t>impulso</w:t>
      </w:r>
      <w:proofErr w:type="spellEnd"/>
      <w:r>
        <w:t>-fonds: subsidies voor artsen op zich binnen bepaalde regio te vestigen. Dit is geen zekerheid op overaanbod.</w:t>
      </w:r>
      <w:r>
        <w:br/>
      </w:r>
      <w:r>
        <w:br/>
        <w:t xml:space="preserve">In dat opzicht: ook Europese context bekijken </w:t>
      </w:r>
      <w:proofErr w:type="spellStart"/>
      <w:r>
        <w:t>cfr</w:t>
      </w:r>
      <w:proofErr w:type="spellEnd"/>
      <w:r>
        <w:t>. OESO. Daaruit blijkt dat aantal artsen per 1000 inwoners conform OESO-gemiddelde is (naar studies kijken die correctie hanteren voor type van gezondheidszorgsysteem en activiteit, anders zijn cijfers niets waard)</w:t>
      </w:r>
      <w:r>
        <w:br/>
      </w:r>
      <w:r>
        <w:br/>
      </w:r>
      <w:proofErr w:type="spellStart"/>
      <w:r>
        <w:t>Cfr</w:t>
      </w:r>
      <w:proofErr w:type="spellEnd"/>
      <w:r>
        <w:t>. Ook opiniestuk Vlaamse huisartsen:</w:t>
      </w:r>
      <w:r>
        <w:br/>
      </w:r>
      <w:r w:rsidRPr="00C32B2E">
        <w:t>http://deredactie.be/cm/vrtnieuws/opinieblog/opinie/1.2737552</w:t>
      </w:r>
    </w:p>
  </w:comment>
  <w:comment w:id="9" w:author="Frederik Deman" w:date="2016-11-08T12:20:00Z" w:initials="FD">
    <w:p w14:paraId="2BF21BFC" w14:textId="77777777" w:rsidR="005879B1" w:rsidRDefault="005879B1">
      <w:pPr>
        <w:pStyle w:val="CommentText"/>
      </w:pPr>
      <w:r>
        <w:rPr>
          <w:rStyle w:val="CommentReference"/>
        </w:rPr>
        <w:annotationRef/>
      </w:r>
      <w:proofErr w:type="spellStart"/>
      <w:r>
        <w:t>Quid</w:t>
      </w:r>
      <w:proofErr w:type="spellEnd"/>
      <w:r>
        <w:t xml:space="preserve"> is er geen groot verschil in systeem langs beide zijde van de taalgrens en hoe wordt dit meegenomen in deze opinie? Aan Waalse zijde (en Brusselse) wijzen studies op het feit dat eerstelijnszorg vaak wordt uitgeoefend door specialisten.</w:t>
      </w:r>
    </w:p>
  </w:comment>
  <w:comment w:id="10" w:author="Frederik Deman" w:date="2016-11-08T12:22:00Z" w:initials="FD">
    <w:p w14:paraId="02284F2B" w14:textId="77777777" w:rsidR="005879B1" w:rsidRDefault="005879B1">
      <w:pPr>
        <w:pStyle w:val="CommentText"/>
      </w:pPr>
      <w:r>
        <w:rPr>
          <w:rStyle w:val="CommentReference"/>
        </w:rPr>
        <w:annotationRef/>
      </w:r>
      <w:proofErr w:type="spellStart"/>
      <w:r>
        <w:t>Cfr</w:t>
      </w:r>
      <w:proofErr w:type="spellEnd"/>
      <w:r>
        <w:t>. Supra: wanneer is er een tekort? Toen dit in pers kwam waren er ook reacties van artsen die zeiden dat cijfers niet correct waren: zo waren er gemeentes zonder huisarts, hoewel het telefoonboek anders zei…</w:t>
      </w:r>
    </w:p>
  </w:comment>
  <w:comment w:id="11" w:author="Frederik Deman" w:date="2016-11-08T12:23:00Z" w:initials="FD">
    <w:p w14:paraId="5F71D612" w14:textId="77777777" w:rsidR="005879B1" w:rsidRDefault="005879B1">
      <w:pPr>
        <w:pStyle w:val="CommentText"/>
      </w:pPr>
      <w:r>
        <w:rPr>
          <w:rStyle w:val="CommentReference"/>
        </w:rPr>
        <w:annotationRef/>
      </w:r>
      <w:r>
        <w:t>Selectieve lezing van het arrest van de raad van state: is eerder dat de proef niet aanvaarde omdat het systeem van selectie (</w:t>
      </w:r>
      <w:proofErr w:type="spellStart"/>
      <w:r>
        <w:t>numerus</w:t>
      </w:r>
      <w:proofErr w:type="spellEnd"/>
      <w:r>
        <w:t xml:space="preserve"> fixus) niet afgestemd is op manier waarop quota verdeeld worden. </w:t>
      </w:r>
      <w:r>
        <w:br/>
      </w:r>
      <w:r>
        <w:br/>
      </w:r>
      <w:proofErr w:type="spellStart"/>
      <w:r>
        <w:t>Cfr</w:t>
      </w:r>
      <w:proofErr w:type="spellEnd"/>
      <w:r>
        <w:t>. Supra: vergelijkend examen kan voor zelfde probleem zorgen.</w:t>
      </w:r>
    </w:p>
  </w:comment>
  <w:comment w:id="12" w:author="Frederik Deman" w:date="2016-11-08T12:25:00Z" w:initials="FD">
    <w:p w14:paraId="2D2E6C40" w14:textId="77777777" w:rsidR="005879B1" w:rsidRDefault="005879B1">
      <w:pPr>
        <w:pStyle w:val="CommentText"/>
      </w:pPr>
      <w:r>
        <w:rPr>
          <w:rStyle w:val="CommentReference"/>
        </w:rPr>
        <w:annotationRef/>
      </w:r>
      <w:r>
        <w:t xml:space="preserve">Niet echt positie van VGSO: deze tekst is gewoon letterlijke copy-paste van reactie op perstekst Franstalige studenten. Positie VGSO lijkt me eerder in hun charter te staan (als er dan toch </w:t>
      </w:r>
      <w:proofErr w:type="spellStart"/>
      <w:r>
        <w:t>gecopy</w:t>
      </w:r>
      <w:proofErr w:type="spellEnd"/>
      <w:r>
        <w:t xml:space="preserve"> </w:t>
      </w:r>
      <w:proofErr w:type="spellStart"/>
      <w:r>
        <w:t>pasted</w:t>
      </w:r>
      <w:proofErr w:type="spellEnd"/>
      <w:r>
        <w:t xml:space="preserve"> moet worden…)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89341E9" w15:done="0"/>
  <w15:commentEx w15:paraId="4454750A" w15:done="0"/>
  <w15:commentEx w15:paraId="771AE1F6" w15:done="0"/>
  <w15:commentEx w15:paraId="5D5B98B2" w15:done="0"/>
  <w15:commentEx w15:paraId="1DFDC819" w15:done="0"/>
  <w15:commentEx w15:paraId="2BF21BFC" w15:done="0"/>
  <w15:commentEx w15:paraId="02284F2B" w15:done="0"/>
  <w15:commentEx w15:paraId="5F71D612" w15:done="0"/>
  <w15:commentEx w15:paraId="2D2E6C4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F0D1D5" w14:textId="77777777" w:rsidR="007A02F8" w:rsidRDefault="007A02F8">
      <w:pPr>
        <w:spacing w:line="240" w:lineRule="auto"/>
      </w:pPr>
      <w:r>
        <w:separator/>
      </w:r>
    </w:p>
  </w:endnote>
  <w:endnote w:type="continuationSeparator" w:id="0">
    <w:p w14:paraId="6690902E" w14:textId="77777777" w:rsidR="007A02F8" w:rsidRDefault="007A02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AB5070" w14:textId="77777777" w:rsidR="007A02F8" w:rsidRDefault="007A02F8">
      <w:pPr>
        <w:spacing w:line="240" w:lineRule="auto"/>
      </w:pPr>
      <w:r>
        <w:separator/>
      </w:r>
    </w:p>
  </w:footnote>
  <w:footnote w:type="continuationSeparator" w:id="0">
    <w:p w14:paraId="717B07A7" w14:textId="77777777" w:rsidR="007A02F8" w:rsidRDefault="007A02F8">
      <w:pPr>
        <w:spacing w:line="240" w:lineRule="auto"/>
      </w:pPr>
      <w:r>
        <w:continuationSeparator/>
      </w:r>
    </w:p>
  </w:footnote>
  <w:footnote w:id="1">
    <w:p w14:paraId="694506A9" w14:textId="77777777" w:rsidR="00A73484" w:rsidRDefault="007A02F8">
      <w:pPr>
        <w:spacing w:after="160" w:line="259" w:lineRule="auto"/>
      </w:pPr>
      <w:r>
        <w:rPr>
          <w:vertAlign w:val="superscript"/>
        </w:rPr>
        <w:footnoteRef/>
      </w:r>
      <w:r>
        <w:rPr>
          <w:sz w:val="20"/>
          <w:szCs w:val="20"/>
        </w:rPr>
        <w:t>Wet van 29 april 1996. De contingentering dient verschillende doelen zoals het beheersbaar houden van de kosten van de gezondheidszorg, het garanderen van zorgkwaliteit en het behouden van het evenwicht tussen de artsendichtheid van de gemeenschappen.</w:t>
      </w:r>
    </w:p>
  </w:footnote>
  <w:footnote w:id="2">
    <w:p w14:paraId="181D638E" w14:textId="77777777" w:rsidR="00A73484" w:rsidRDefault="007A02F8">
      <w:pPr>
        <w:spacing w:line="240" w:lineRule="auto"/>
      </w:pPr>
      <w:r>
        <w:rPr>
          <w:vertAlign w:val="superscript"/>
        </w:rPr>
        <w:footnoteRef/>
      </w:r>
      <w:r>
        <w:rPr>
          <w:rFonts w:ascii="Calibri" w:eastAsia="Calibri" w:hAnsi="Calibri" w:cs="Calibri"/>
          <w:sz w:val="20"/>
          <w:szCs w:val="20"/>
        </w:rPr>
        <w:t xml:space="preserve"> </w:t>
      </w:r>
      <w:proofErr w:type="gramStart"/>
      <w:r>
        <w:rPr>
          <w:rFonts w:ascii="Calibri" w:eastAsia="Calibri" w:hAnsi="Calibri" w:cs="Calibri"/>
          <w:sz w:val="20"/>
          <w:szCs w:val="20"/>
        </w:rPr>
        <w:t>ht</w:t>
      </w:r>
      <w:r>
        <w:rPr>
          <w:rFonts w:ascii="Calibri" w:eastAsia="Calibri" w:hAnsi="Calibri" w:cs="Calibri"/>
          <w:sz w:val="20"/>
          <w:szCs w:val="20"/>
        </w:rPr>
        <w:t>tp://www.vlor.be/sites/www.vlor.be/files/rho-rho-adv-1516-005.pdf</w:t>
      </w:r>
      <w:proofErr w:type="gramEnd"/>
    </w:p>
  </w:footnote>
  <w:footnote w:id="3">
    <w:p w14:paraId="3A80F01D" w14:textId="77777777" w:rsidR="00A73484" w:rsidRDefault="007A02F8">
      <w:pPr>
        <w:spacing w:line="240" w:lineRule="auto"/>
      </w:pPr>
      <w:r>
        <w:rPr>
          <w:vertAlign w:val="superscript"/>
        </w:rPr>
        <w:footnoteRef/>
      </w:r>
      <w:r>
        <w:rPr>
          <w:rFonts w:ascii="Calibri" w:eastAsia="Calibri" w:hAnsi="Calibri" w:cs="Calibri"/>
          <w:sz w:val="20"/>
          <w:szCs w:val="20"/>
        </w:rPr>
        <w:t xml:space="preserve"> </w:t>
      </w:r>
      <w:proofErr w:type="gramStart"/>
      <w:r>
        <w:rPr>
          <w:rFonts w:ascii="Calibri" w:eastAsia="Calibri" w:hAnsi="Calibri" w:cs="Calibri"/>
          <w:sz w:val="20"/>
          <w:szCs w:val="20"/>
        </w:rPr>
        <w:t>http://www.vlor.be/sites/www.vlor.be/files/rho-rho-adv-1516-005.pdf</w:t>
      </w:r>
      <w:proofErr w:type="gramEnd"/>
    </w:p>
  </w:footnote>
  <w:footnote w:id="4">
    <w:p w14:paraId="7F8864D8" w14:textId="77777777" w:rsidR="00A73484" w:rsidRDefault="007A02F8">
      <w:pPr>
        <w:pStyle w:val="Heading3"/>
        <w:spacing w:before="40" w:after="0" w:line="259" w:lineRule="auto"/>
        <w:contextualSpacing w:val="0"/>
      </w:pPr>
      <w:bookmarkStart w:id="4" w:name="_75o03awq4v7v" w:colFirst="0" w:colLast="0"/>
      <w:bookmarkEnd w:id="4"/>
      <w:r>
        <w:rPr>
          <w:vertAlign w:val="superscript"/>
        </w:rPr>
        <w:footnoteRef/>
      </w:r>
      <w:r>
        <w:rPr>
          <w:rFonts w:ascii="Calibri" w:eastAsia="Calibri" w:hAnsi="Calibri" w:cs="Calibri"/>
          <w:color w:val="1E4D78"/>
          <w:sz w:val="24"/>
          <w:szCs w:val="24"/>
        </w:rPr>
        <w:t xml:space="preserve"> Rijksinstituut voor ziekte- en invaliditeitsverzekering</w:t>
      </w:r>
    </w:p>
  </w:footnote>
  <w:footnote w:id="5">
    <w:p w14:paraId="2E91AA48" w14:textId="77777777" w:rsidR="00A73484" w:rsidRDefault="007A02F8">
      <w:pPr>
        <w:spacing w:line="240" w:lineRule="auto"/>
      </w:pPr>
      <w:r>
        <w:rPr>
          <w:vertAlign w:val="superscript"/>
        </w:rPr>
        <w:footnoteRef/>
      </w:r>
      <w:proofErr w:type="gramStart"/>
      <w:r>
        <w:rPr>
          <w:rFonts w:ascii="Calibri" w:eastAsia="Calibri" w:hAnsi="Calibri" w:cs="Calibri"/>
          <w:sz w:val="20"/>
          <w:szCs w:val="20"/>
        </w:rPr>
        <w:t>http://www.knack.be/nieuws/belgie/de-block-voert-druk-op-na-opgeschorte-toegangsproef-waalse-artsen/article-normal-739439.html</w:t>
      </w:r>
      <w:proofErr w:type="gramEnd"/>
    </w:p>
  </w:footnote>
  <w:footnote w:id="6">
    <w:p w14:paraId="253E50B8" w14:textId="77777777" w:rsidR="00A73484" w:rsidRDefault="007A02F8">
      <w:pPr>
        <w:spacing w:line="240" w:lineRule="auto"/>
      </w:pPr>
      <w:r>
        <w:rPr>
          <w:vertAlign w:val="superscript"/>
        </w:rPr>
        <w:footnoteRef/>
      </w:r>
      <w:r>
        <w:rPr>
          <w:rFonts w:ascii="Calibri" w:eastAsia="Calibri" w:hAnsi="Calibri" w:cs="Calibri"/>
          <w:sz w:val="20"/>
          <w:szCs w:val="20"/>
        </w:rPr>
        <w:t xml:space="preserve"> </w:t>
      </w:r>
      <w:proofErr w:type="gramStart"/>
      <w:r>
        <w:rPr>
          <w:rFonts w:ascii="Calibri" w:eastAsia="Calibri" w:hAnsi="Calibri" w:cs="Calibri"/>
          <w:sz w:val="20"/>
          <w:szCs w:val="20"/>
        </w:rPr>
        <w:t>https://www.facebook.com/cium.etudiantsmedecine/posts/532344736965993</w:t>
      </w:r>
      <w:proofErr w:type="gramEnd"/>
    </w:p>
  </w:footnote>
  <w:footnote w:id="7">
    <w:p w14:paraId="62AB5E09" w14:textId="77777777" w:rsidR="00A73484" w:rsidRDefault="007A02F8">
      <w:pPr>
        <w:spacing w:after="160" w:line="259" w:lineRule="auto"/>
      </w:pPr>
      <w:r>
        <w:rPr>
          <w:vertAlign w:val="superscript"/>
        </w:rPr>
        <w:footnoteRef/>
      </w:r>
      <w:r>
        <w:rPr>
          <w:rFonts w:ascii="Calibri" w:eastAsia="Calibri" w:hAnsi="Calibri" w:cs="Calibri"/>
          <w:sz w:val="20"/>
          <w:szCs w:val="20"/>
        </w:rPr>
        <w:t xml:space="preserve"> Studenten geneeskunde </w:t>
      </w:r>
      <w:proofErr w:type="spellStart"/>
      <w:r>
        <w:rPr>
          <w:rFonts w:ascii="Calibri" w:eastAsia="Calibri" w:hAnsi="Calibri" w:cs="Calibri"/>
          <w:sz w:val="20"/>
          <w:szCs w:val="20"/>
        </w:rPr>
        <w:t>ULg</w:t>
      </w:r>
      <w:proofErr w:type="spellEnd"/>
      <w:r>
        <w:rPr>
          <w:rFonts w:ascii="Calibri" w:eastAsia="Calibri" w:hAnsi="Calibri" w:cs="Calibri"/>
          <w:sz w:val="20"/>
          <w:szCs w:val="20"/>
        </w:rPr>
        <w:t xml:space="preserve"> – arrest betreffende de </w:t>
      </w:r>
      <w:proofErr w:type="spellStart"/>
      <w:r>
        <w:rPr>
          <w:rFonts w:ascii="Calibri" w:eastAsia="Calibri" w:hAnsi="Calibri" w:cs="Calibri"/>
          <w:sz w:val="20"/>
          <w:szCs w:val="20"/>
        </w:rPr>
        <w:t>numer</w:t>
      </w:r>
      <w:r>
        <w:rPr>
          <w:rFonts w:ascii="Calibri" w:eastAsia="Calibri" w:hAnsi="Calibri" w:cs="Calibri"/>
          <w:sz w:val="20"/>
          <w:szCs w:val="20"/>
        </w:rPr>
        <w:t>us</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clausus</w:t>
      </w:r>
      <w:proofErr w:type="spellEnd"/>
      <w:r>
        <w:rPr>
          <w:rFonts w:ascii="Calibri" w:eastAsia="Calibri" w:hAnsi="Calibri" w:cs="Calibri"/>
          <w:sz w:val="20"/>
          <w:szCs w:val="20"/>
        </w:rPr>
        <w:t xml:space="preserve">. Bij arrest nr. </w:t>
      </w:r>
      <w:hyperlink r:id="rId1">
        <w:r>
          <w:rPr>
            <w:rFonts w:ascii="Calibri" w:eastAsia="Calibri" w:hAnsi="Calibri" w:cs="Calibri"/>
            <w:color w:val="0000FF"/>
            <w:sz w:val="20"/>
            <w:szCs w:val="20"/>
            <w:u w:val="single"/>
          </w:rPr>
          <w:t>235.618</w:t>
        </w:r>
      </w:hyperlink>
      <w:r>
        <w:rPr>
          <w:rFonts w:ascii="Calibri" w:eastAsia="Calibri" w:hAnsi="Calibri" w:cs="Calibri"/>
          <w:sz w:val="20"/>
          <w:szCs w:val="20"/>
        </w:rPr>
        <w:t xml:space="preserve"> van 12 augustus 2016 heeft de Raad van State de tenuitvoerlegging geschorst van de rangschikking die opgemaakt is ter gelegenheid van het vergelijkend ex</w:t>
      </w:r>
      <w:r>
        <w:rPr>
          <w:rFonts w:ascii="Calibri" w:eastAsia="Calibri" w:hAnsi="Calibri" w:cs="Calibri"/>
          <w:sz w:val="20"/>
          <w:szCs w:val="20"/>
        </w:rPr>
        <w:t xml:space="preserve">amen geneeskunde dat de </w:t>
      </w:r>
      <w:proofErr w:type="spellStart"/>
      <w:r>
        <w:rPr>
          <w:rFonts w:ascii="Calibri" w:eastAsia="Calibri" w:hAnsi="Calibri" w:cs="Calibri"/>
          <w:sz w:val="20"/>
          <w:szCs w:val="20"/>
        </w:rPr>
        <w:t>Université</w:t>
      </w:r>
      <w:proofErr w:type="spellEnd"/>
      <w:r>
        <w:rPr>
          <w:rFonts w:ascii="Calibri" w:eastAsia="Calibri" w:hAnsi="Calibri" w:cs="Calibri"/>
          <w:sz w:val="20"/>
          <w:szCs w:val="20"/>
        </w:rPr>
        <w:t xml:space="preserve"> de Liège georganiseerd heeft op het einde van het eerste jaar geneeskunde, doch alleen voor zover daarbij een aantal verzoekers niet in aanmerking worden genomen die nochtans het vereiste aantal studiepunten behaald hadde</w:t>
      </w:r>
      <w:r>
        <w:rPr>
          <w:rFonts w:ascii="Calibri" w:eastAsia="Calibri" w:hAnsi="Calibri" w:cs="Calibri"/>
          <w:sz w:val="20"/>
          <w:szCs w:val="20"/>
        </w:rPr>
        <w:t>n om hun studie te mogen voortzetten, waardoor hen het attest is onthouden dat toegang verleent tot het vervolg van de bacheloropleiding in de medische wetenschappen.</w:t>
      </w:r>
    </w:p>
    <w:p w14:paraId="63436C23" w14:textId="77777777" w:rsidR="00A73484" w:rsidRDefault="007A02F8">
      <w:pPr>
        <w:spacing w:before="100" w:after="100" w:line="240" w:lineRule="auto"/>
      </w:pPr>
      <w:r>
        <w:rPr>
          <w:rFonts w:ascii="Times New Roman" w:eastAsia="Times New Roman" w:hAnsi="Times New Roman" w:cs="Times New Roman"/>
          <w:sz w:val="20"/>
          <w:szCs w:val="20"/>
        </w:rPr>
        <w:t>Net zoals in de arresten die op 26 juli 2016 gewezen zijn met betrekking tot studenten ge</w:t>
      </w:r>
      <w:r>
        <w:rPr>
          <w:rFonts w:ascii="Times New Roman" w:eastAsia="Times New Roman" w:hAnsi="Times New Roman" w:cs="Times New Roman"/>
          <w:sz w:val="20"/>
          <w:szCs w:val="20"/>
        </w:rPr>
        <w:t xml:space="preserve">neeskunde aan de </w:t>
      </w:r>
      <w:proofErr w:type="spellStart"/>
      <w:r>
        <w:rPr>
          <w:rFonts w:ascii="Times New Roman" w:eastAsia="Times New Roman" w:hAnsi="Times New Roman" w:cs="Times New Roman"/>
          <w:sz w:val="20"/>
          <w:szCs w:val="20"/>
        </w:rPr>
        <w:t>Université</w:t>
      </w:r>
      <w:proofErr w:type="spellEnd"/>
      <w:r>
        <w:rPr>
          <w:rFonts w:ascii="Times New Roman" w:eastAsia="Times New Roman" w:hAnsi="Times New Roman" w:cs="Times New Roman"/>
          <w:sz w:val="20"/>
          <w:szCs w:val="20"/>
        </w:rPr>
        <w:t xml:space="preserve"> de Namur, heeft de Raad van State geoordeeld dat het koninklijk besluit van 30 augustus 2015 en het besluit van de Franse Gemeenschapsregering van 17 juli 2015, waarop de bestreden rangschikking steunt, onwettig zijn en bijgevol</w:t>
      </w:r>
      <w:r>
        <w:rPr>
          <w:rFonts w:ascii="Times New Roman" w:eastAsia="Times New Roman" w:hAnsi="Times New Roman" w:cs="Times New Roman"/>
          <w:sz w:val="20"/>
          <w:szCs w:val="20"/>
        </w:rPr>
        <w:t xml:space="preserve">g krachtens artikel </w:t>
      </w:r>
      <w:proofErr w:type="gramStart"/>
      <w:r>
        <w:rPr>
          <w:rFonts w:ascii="Times New Roman" w:eastAsia="Times New Roman" w:hAnsi="Times New Roman" w:cs="Times New Roman"/>
          <w:sz w:val="20"/>
          <w:szCs w:val="20"/>
        </w:rPr>
        <w:t>159  van</w:t>
      </w:r>
      <w:proofErr w:type="gramEnd"/>
      <w:r>
        <w:rPr>
          <w:rFonts w:ascii="Times New Roman" w:eastAsia="Times New Roman" w:hAnsi="Times New Roman" w:cs="Times New Roman"/>
          <w:sz w:val="20"/>
          <w:szCs w:val="20"/>
        </w:rPr>
        <w:t xml:space="preserve"> de Grondwet niet toegepast mogen worden. In het arrest wordt vastgesteld dat daaruit volgt dat voor de toegang tot het tweede jaar bachelor van die opleiding thans geen andere beperking geldt dan het behalen van de vereiste 45 </w:t>
      </w:r>
      <w:r>
        <w:rPr>
          <w:rFonts w:ascii="Times New Roman" w:eastAsia="Times New Roman" w:hAnsi="Times New Roman" w:cs="Times New Roman"/>
          <w:sz w:val="20"/>
          <w:szCs w:val="20"/>
        </w:rPr>
        <w:t>studiepunten.</w:t>
      </w:r>
    </w:p>
    <w:p w14:paraId="2C9877FF" w14:textId="77777777" w:rsidR="00A73484" w:rsidRDefault="00A73484">
      <w:pPr>
        <w:spacing w:before="100" w:after="100" w:line="240" w:lineRule="auto"/>
      </w:pPr>
    </w:p>
    <w:p w14:paraId="70404016" w14:textId="77777777" w:rsidR="00A73484" w:rsidRDefault="00A73484">
      <w:pPr>
        <w:spacing w:line="240" w:lineRule="auto"/>
      </w:pPr>
    </w:p>
  </w:footnote>
  <w:footnote w:id="8">
    <w:p w14:paraId="6BE76CA6" w14:textId="77777777" w:rsidR="00A73484" w:rsidRDefault="007A02F8">
      <w:pPr>
        <w:spacing w:line="240" w:lineRule="auto"/>
      </w:pPr>
      <w:r>
        <w:rPr>
          <w:vertAlign w:val="superscript"/>
        </w:rPr>
        <w:footnoteRef/>
      </w:r>
      <w:proofErr w:type="gramStart"/>
      <w:r>
        <w:rPr>
          <w:rFonts w:ascii="Calibri" w:eastAsia="Calibri" w:hAnsi="Calibri" w:cs="Calibri"/>
          <w:sz w:val="20"/>
          <w:szCs w:val="20"/>
        </w:rPr>
        <w:t>https://www.facebook.com/VlaamsGeneeskundigStudentenoverlegVgso/photos/a.581581735271782.1073741828.455479064548717/1071553242941293/?type=3&amp;theater</w:t>
      </w:r>
      <w:proofErr w:type="gramEnd"/>
    </w:p>
  </w:footnote>
  <w:footnote w:id="9">
    <w:p w14:paraId="2840026F" w14:textId="77777777" w:rsidR="00A73484" w:rsidRDefault="007A02F8">
      <w:pPr>
        <w:spacing w:line="240" w:lineRule="auto"/>
      </w:pPr>
      <w:r>
        <w:rPr>
          <w:vertAlign w:val="superscript"/>
        </w:rPr>
        <w:footnoteRef/>
      </w:r>
      <w:r>
        <w:rPr>
          <w:rFonts w:ascii="Calibri" w:eastAsia="Calibri" w:hAnsi="Calibri" w:cs="Calibri"/>
          <w:sz w:val="20"/>
          <w:szCs w:val="20"/>
        </w:rPr>
        <w:t xml:space="preserve"> Dit effect houdt in dat de vraag naar medische handelingen stijgt wanneer het aanbod sti</w:t>
      </w:r>
      <w:r>
        <w:rPr>
          <w:rFonts w:ascii="Calibri" w:eastAsia="Calibri" w:hAnsi="Calibri" w:cs="Calibri"/>
          <w:sz w:val="20"/>
          <w:szCs w:val="20"/>
        </w:rPr>
        <w:t>jgt, hoe meer artsen/tandartsen, hoe groter de vraag naar medische handelingen.</w:t>
      </w:r>
    </w:p>
  </w:footnote>
  <w:footnote w:id="10">
    <w:p w14:paraId="3AAA25FB" w14:textId="77777777" w:rsidR="00A73484" w:rsidRDefault="007A02F8">
      <w:pPr>
        <w:spacing w:line="240" w:lineRule="auto"/>
      </w:pPr>
      <w:r>
        <w:rPr>
          <w:vertAlign w:val="superscript"/>
        </w:rPr>
        <w:footnoteRef/>
      </w:r>
      <w:r>
        <w:rPr>
          <w:rFonts w:ascii="Calibri" w:eastAsia="Calibri" w:hAnsi="Calibri" w:cs="Calibri"/>
          <w:sz w:val="20"/>
          <w:szCs w:val="20"/>
        </w:rPr>
        <w:t xml:space="preserve"> Noot van stafmedewerker VVS: Sinds de 6</w:t>
      </w:r>
      <w:r>
        <w:rPr>
          <w:rFonts w:ascii="Calibri" w:eastAsia="Calibri" w:hAnsi="Calibri" w:cs="Calibri"/>
          <w:sz w:val="20"/>
          <w:szCs w:val="20"/>
          <w:vertAlign w:val="superscript"/>
        </w:rPr>
        <w:t>e</w:t>
      </w:r>
      <w:r>
        <w:rPr>
          <w:rFonts w:ascii="Calibri" w:eastAsia="Calibri" w:hAnsi="Calibri" w:cs="Calibri"/>
          <w:sz w:val="20"/>
          <w:szCs w:val="20"/>
        </w:rPr>
        <w:t xml:space="preserve"> staatshervorming zijn de gemeenschappen hiervoor bevoegd, de federale planningscommissie dient wel rekening te houden met de benodigd</w:t>
      </w:r>
      <w:r>
        <w:rPr>
          <w:rFonts w:ascii="Calibri" w:eastAsia="Calibri" w:hAnsi="Calibri" w:cs="Calibri"/>
          <w:sz w:val="20"/>
          <w:szCs w:val="20"/>
        </w:rPr>
        <w:t xml:space="preserve">e specialismen in haar schattingen, de effectieve verdeling is dus echter aan de gemeenschappen. </w:t>
      </w:r>
    </w:p>
  </w:footnote>
  <w:footnote w:id="11">
    <w:p w14:paraId="2C7FD6DE" w14:textId="77777777" w:rsidR="00A73484" w:rsidRDefault="007A02F8">
      <w:pPr>
        <w:spacing w:line="240" w:lineRule="auto"/>
      </w:pPr>
      <w:r>
        <w:rPr>
          <w:vertAlign w:val="superscript"/>
        </w:rPr>
        <w:footnoteRef/>
      </w:r>
      <w:r>
        <w:rPr>
          <w:rFonts w:ascii="Calibri" w:eastAsia="Calibri" w:hAnsi="Calibri" w:cs="Calibri"/>
          <w:sz w:val="20"/>
          <w:szCs w:val="20"/>
        </w:rPr>
        <w:t xml:space="preserve"> </w:t>
      </w:r>
      <w:proofErr w:type="gramStart"/>
      <w:r>
        <w:rPr>
          <w:rFonts w:ascii="Calibri" w:eastAsia="Calibri" w:hAnsi="Calibri" w:cs="Calibri"/>
          <w:sz w:val="20"/>
          <w:szCs w:val="20"/>
        </w:rPr>
        <w:t>https://www.vlaamsparlement.be/commissies/commissievergaderingen/1074526/verslag/1075044/persoon/jan-bertels</w:t>
      </w:r>
      <w:proofErr w:type="gramEnd"/>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rederik Deman">
    <w15:presenceInfo w15:providerId="None" w15:userId="Frederik Dem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8428861-3E55-455A-941C-2B6049D39FD0}"/>
    <w:docVar w:name="dgnword-eventsink" w:val="128838384"/>
  </w:docVars>
  <w:rsids>
    <w:rsidRoot w:val="00A73484"/>
    <w:rsid w:val="005879B1"/>
    <w:rsid w:val="007A02F8"/>
    <w:rsid w:val="00A73484"/>
    <w:rsid w:val="00C32B2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FB549"/>
  <w15:docId w15:val="{8ECA27F0-5CAE-4BFB-A107-C16CF742A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nl-BE" w:eastAsia="nl-B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C32B2E"/>
    <w:rPr>
      <w:sz w:val="16"/>
      <w:szCs w:val="16"/>
    </w:rPr>
  </w:style>
  <w:style w:type="paragraph" w:styleId="CommentText">
    <w:name w:val="annotation text"/>
    <w:basedOn w:val="Normal"/>
    <w:link w:val="CommentTextChar"/>
    <w:uiPriority w:val="99"/>
    <w:semiHidden/>
    <w:unhideWhenUsed/>
    <w:rsid w:val="00C32B2E"/>
    <w:pPr>
      <w:spacing w:line="240" w:lineRule="auto"/>
    </w:pPr>
    <w:rPr>
      <w:sz w:val="20"/>
      <w:szCs w:val="20"/>
    </w:rPr>
  </w:style>
  <w:style w:type="character" w:customStyle="1" w:styleId="CommentTextChar">
    <w:name w:val="Comment Text Char"/>
    <w:basedOn w:val="DefaultParagraphFont"/>
    <w:link w:val="CommentText"/>
    <w:uiPriority w:val="99"/>
    <w:semiHidden/>
    <w:rsid w:val="00C32B2E"/>
    <w:rPr>
      <w:sz w:val="20"/>
      <w:szCs w:val="20"/>
    </w:rPr>
  </w:style>
  <w:style w:type="paragraph" w:styleId="CommentSubject">
    <w:name w:val="annotation subject"/>
    <w:basedOn w:val="CommentText"/>
    <w:next w:val="CommentText"/>
    <w:link w:val="CommentSubjectChar"/>
    <w:uiPriority w:val="99"/>
    <w:semiHidden/>
    <w:unhideWhenUsed/>
    <w:rsid w:val="00C32B2E"/>
    <w:rPr>
      <w:b/>
      <w:bCs/>
    </w:rPr>
  </w:style>
  <w:style w:type="character" w:customStyle="1" w:styleId="CommentSubjectChar">
    <w:name w:val="Comment Subject Char"/>
    <w:basedOn w:val="CommentTextChar"/>
    <w:link w:val="CommentSubject"/>
    <w:uiPriority w:val="99"/>
    <w:semiHidden/>
    <w:rsid w:val="00C32B2E"/>
    <w:rPr>
      <w:b/>
      <w:bCs/>
      <w:sz w:val="20"/>
      <w:szCs w:val="20"/>
    </w:rPr>
  </w:style>
  <w:style w:type="paragraph" w:styleId="BalloonText">
    <w:name w:val="Balloon Text"/>
    <w:basedOn w:val="Normal"/>
    <w:link w:val="BalloonTextChar"/>
    <w:uiPriority w:val="99"/>
    <w:semiHidden/>
    <w:unhideWhenUsed/>
    <w:rsid w:val="00C32B2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B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www.raadvst-consetat.be/arr.php?nr=2356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2060</Words>
  <Characters>11334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Frederik Deman</dc:creator>
  <cp:lastModifiedBy>Frederik Deman</cp:lastModifiedBy>
  <cp:revision>2</cp:revision>
  <dcterms:created xsi:type="dcterms:W3CDTF">2016-11-08T11:27:00Z</dcterms:created>
  <dcterms:modified xsi:type="dcterms:W3CDTF">2016-11-08T11:27:00Z</dcterms:modified>
</cp:coreProperties>
</file>